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8"/>
        <w:spacing w:before="120" w:beforeAutospacing="0" w:after="120" w:afterAutospacing="0" w:line="360" w:lineRule="auto"/>
        <w:rPr>
          <w:color w:val="auto"/>
          <w:highlight w:val="none"/>
        </w:rPr>
      </w:pPr>
      <w:r>
        <w:rPr>
          <w:color w:val="auto"/>
          <w:highlight w:val="none"/>
        </w:rPr>
        <w:t xml:space="preserve"> </w:t>
      </w:r>
      <w:r/>
    </w:p>
    <w:p>
      <w:pPr>
        <w:pStyle w:val="738"/>
        <w:spacing w:before="120" w:beforeAutospacing="0" w:after="120" w:afterAutospacing="0" w:line="360" w:lineRule="auto"/>
        <w:rPr>
          <w:color w:val="auto"/>
          <w:highlight w:val="none"/>
        </w:rPr>
      </w:pPr>
      <w:r>
        <w:rPr>
          <w:color w:val="auto"/>
          <w:highlight w:val="none"/>
        </w:rPr>
      </w:r>
      <w:r/>
    </w:p>
    <w:p>
      <w:pPr>
        <w:pStyle w:val="738"/>
        <w:spacing w:before="120" w:beforeAutospacing="0" w:after="120" w:afterAutospacing="0" w:line="360" w:lineRule="auto"/>
        <w:rPr>
          <w:color w:val="auto"/>
          <w:highlight w:val="none"/>
        </w:rPr>
      </w:pPr>
      <w:r>
        <w:rPr>
          <w:color w:val="auto"/>
          <w:highlight w:val="none"/>
        </w:rPr>
      </w:r>
      <w:r/>
    </w:p>
    <w:p>
      <w:pPr>
        <w:pStyle w:val="738"/>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738"/>
        <w:ind w:firstLine="643"/>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38"/>
        <w:ind w:firstLine="643"/>
        <w:spacing w:before="120" w:beforeAutospacing="0" w:after="120" w:afterAutospacing="0" w:line="360" w:lineRule="auto"/>
        <w:rPr>
          <w:rFonts w:hint="eastAsia" w:eastAsia="宋体"/>
          <w:color w:val="auto"/>
          <w:highlight w:val="none"/>
          <w:lang w:eastAsia="zh-CN"/>
        </w:rPr>
      </w:pPr>
      <w:r>
        <w:rPr>
          <w:rFonts w:ascii="Arial" w:hAnsi="Arial" w:cs="Arial"/>
          <w:b/>
          <w:color w:val="auto"/>
          <w:sz w:val="32"/>
          <w:szCs w:val="32"/>
          <w:highlight w:val="none"/>
        </w:rPr>
        <w:t xml:space="preserve">项目名称：</w:t>
      </w:r>
      <w:r>
        <w:rPr>
          <w:rFonts w:hint="eastAsia" w:ascii="Arial" w:hAnsi="Arial" w:cs="Arial"/>
          <w:b/>
          <w:color w:val="auto"/>
          <w:sz w:val="32"/>
          <w:szCs w:val="32"/>
          <w:highlight w:val="none"/>
          <w:lang w:eastAsia="zh-CN"/>
        </w:rPr>
        <w:t xml:space="preserve">东台市实验小学未来实验室建设项目（第二次）</w:t>
      </w:r>
      <w:r/>
    </w:p>
    <w:p>
      <w:pPr>
        <w:pStyle w:val="738"/>
        <w:ind w:firstLine="643"/>
        <w:spacing w:beforeAutospacing="0" w:afterAutospacing="0"/>
        <w:rPr>
          <w:rFonts w:hint="eastAsia" w:eastAsiaTheme="minorEastAsia"/>
          <w:color w:val="auto"/>
          <w:highlight w:val="none"/>
          <w:lang w:val="en-US" w:eastAsia="zh-CN"/>
        </w:rPr>
      </w:pPr>
      <w:r>
        <w:rPr>
          <w:rFonts w:ascii="Times New Roman" w:hAnsi="Times New Roman"/>
          <w:b/>
          <w:color w:val="auto"/>
          <w:sz w:val="32"/>
          <w:szCs w:val="32"/>
          <w:highlight w:val="none"/>
        </w:rPr>
        <w:t xml:space="preserve">项目编号：</w:t>
      </w:r>
      <w:r>
        <w:rPr>
          <w:rFonts w:hint="eastAsia" w:ascii="Times New Roman" w:hAnsi="Times New Roman"/>
          <w:b/>
          <w:color w:val="auto"/>
          <w:sz w:val="32"/>
          <w:szCs w:val="32"/>
          <w:highlight w:val="none"/>
          <w:lang w:eastAsia="zh-CN"/>
        </w:rPr>
        <w:t xml:space="preserve">JSZC-320981-CCGC-G2025-0048</w:t>
      </w:r>
      <w:r/>
    </w:p>
    <w:p>
      <w:pPr>
        <w:pStyle w:val="738"/>
        <w:spacing w:beforeAutospacing="0" w:afterAutospacing="0" w:line="360" w:lineRule="auto"/>
        <w:rPr>
          <w:color w:val="auto"/>
          <w:highlight w:val="none"/>
        </w:rPr>
      </w:pPr>
      <w:r>
        <w:rPr>
          <w:color w:val="auto"/>
          <w:highlight w:val="none"/>
        </w:rPr>
        <w:t xml:space="preserve">  </w:t>
      </w:r>
      <w:r/>
    </w:p>
    <w:p>
      <w:pPr>
        <w:pStyle w:val="738"/>
        <w:spacing w:beforeAutospacing="0" w:afterAutospacing="0" w:line="360" w:lineRule="auto"/>
        <w:rPr>
          <w:color w:val="auto"/>
          <w:highlight w:val="none"/>
        </w:rPr>
      </w:pPr>
      <w:r>
        <w:rPr>
          <w:color w:val="auto"/>
          <w:highlight w:val="none"/>
        </w:rPr>
        <w:t xml:space="preserve"> </w:t>
      </w:r>
      <w:r/>
    </w:p>
    <w:p>
      <w:pPr>
        <w:pStyle w:val="738"/>
        <w:spacing w:beforeAutospacing="0" w:afterAutospacing="0" w:line="360" w:lineRule="auto"/>
        <w:rPr>
          <w:color w:val="auto"/>
          <w:highlight w:val="none"/>
        </w:rPr>
      </w:pPr>
      <w:r>
        <w:rPr>
          <w:color w:val="auto"/>
          <w:highlight w:val="none"/>
        </w:rPr>
        <w:t xml:space="preserve"> </w:t>
      </w:r>
      <w:r/>
    </w:p>
    <w:p>
      <w:pPr>
        <w:pStyle w:val="738"/>
        <w:spacing w:beforeAutospacing="0" w:afterAutospacing="0" w:line="360" w:lineRule="auto"/>
        <w:rPr>
          <w:color w:val="auto"/>
          <w:highlight w:val="none"/>
        </w:rPr>
      </w:pPr>
      <w:r>
        <w:rPr>
          <w:color w:val="auto"/>
          <w:highlight w:val="none"/>
        </w:rPr>
        <w:t xml:space="preserve">   </w:t>
      </w:r>
      <w:r/>
    </w:p>
    <w:p>
      <w:pPr>
        <w:pStyle w:val="738"/>
        <w:spacing w:beforeAutospacing="0" w:afterAutospacing="0" w:line="360" w:lineRule="auto"/>
        <w:rPr>
          <w:color w:val="auto"/>
          <w:highlight w:val="none"/>
        </w:rPr>
      </w:pPr>
      <w:r>
        <w:rPr>
          <w:color w:val="auto"/>
          <w:highlight w:val="none"/>
        </w:rPr>
        <w:t xml:space="preserve"> </w:t>
      </w:r>
      <w:r/>
    </w:p>
    <w:p>
      <w:pPr>
        <w:pStyle w:val="738"/>
        <w:ind w:firstLine="964"/>
        <w:spacing w:before="120" w:beforeAutospacing="0" w:after="120" w:afterAutospacing="0" w:line="360" w:lineRule="auto"/>
        <w:rPr>
          <w:rFonts w:hint="eastAsia" w:ascii="Arial" w:hAnsi="Arial" w:cs="Arial"/>
          <w:b/>
          <w:color w:val="auto"/>
          <w:sz w:val="32"/>
          <w:szCs w:val="32"/>
          <w:highlight w:val="none"/>
        </w:rPr>
      </w:pPr>
      <w:r>
        <w:rPr>
          <w:rFonts w:hint="eastAsia" w:ascii="Arial" w:hAnsi="Arial" w:cs="Arial"/>
          <w:b/>
          <w:color w:val="auto"/>
          <w:sz w:val="32"/>
          <w:szCs w:val="32"/>
          <w:highlight w:val="none"/>
        </w:rPr>
      </w:r>
      <w:r/>
    </w:p>
    <w:p>
      <w:pPr>
        <w:pStyle w:val="738"/>
        <w:spacing w:beforeAutospacing="0" w:afterAutospacing="0" w:line="360" w:lineRule="auto"/>
        <w:rPr>
          <w:color w:val="auto"/>
          <w:highlight w:val="none"/>
        </w:rPr>
      </w:pPr>
      <w:r>
        <w:rPr>
          <w:color w:val="auto"/>
          <w:highlight w:val="none"/>
        </w:rPr>
      </w:r>
      <w:r/>
    </w:p>
    <w:p>
      <w:pPr>
        <w:pStyle w:val="738"/>
        <w:ind w:firstLine="1285"/>
        <w:jc w:val="both"/>
        <w:spacing w:before="120" w:beforeAutospacing="0" w:after="120" w:afterAutospacing="0" w:line="360" w:lineRule="auto"/>
        <w:widowControl/>
        <w:rPr>
          <w:rFonts w:hint="eastAsia" w:ascii="Arial" w:hAnsi="Arial" w:eastAsia="宋体" w:cs="Arial"/>
          <w:b/>
          <w:color w:val="auto"/>
          <w:sz w:val="32"/>
          <w:szCs w:val="32"/>
          <w:highlight w:val="none"/>
          <w:lang w:eastAsia="zh-CN"/>
        </w:rPr>
      </w:pPr>
      <w:r>
        <w:rPr>
          <w:rFonts w:hint="eastAsia" w:ascii="Arial" w:hAnsi="Arial" w:eastAsia="宋体" w:cs="Arial"/>
          <w:b/>
          <w:color w:val="auto"/>
          <w:sz w:val="32"/>
          <w:szCs w:val="32"/>
          <w:highlight w:val="none"/>
        </w:rPr>
        <w:t xml:space="preserve">采购单位：</w:t>
      </w:r>
      <w:r>
        <w:rPr>
          <w:rFonts w:hint="eastAsia" w:ascii="Arial" w:hAnsi="Arial" w:eastAsia="宋体" w:cs="Arial"/>
          <w:b/>
          <w:color w:val="auto"/>
          <w:sz w:val="32"/>
          <w:szCs w:val="32"/>
          <w:highlight w:val="none"/>
          <w:lang w:eastAsia="zh-CN"/>
        </w:rPr>
        <w:t xml:space="preserve">东台市实验小学</w:t>
      </w:r>
      <w:r/>
    </w:p>
    <w:p>
      <w:pPr>
        <w:pStyle w:val="738"/>
        <w:ind w:firstLine="1285"/>
        <w:jc w:val="both"/>
        <w:spacing w:before="120" w:beforeAutospacing="0" w:after="120" w:afterAutospacing="0" w:line="360" w:lineRule="auto"/>
        <w:widowControl/>
        <w:rPr>
          <w:rFonts w:ascii="Arial" w:hAnsi="Arial" w:eastAsia="宋体" w:cs="Arial"/>
          <w:b/>
          <w:color w:val="auto"/>
          <w:sz w:val="32"/>
          <w:szCs w:val="32"/>
          <w:highlight w:val="none"/>
        </w:rPr>
      </w:pPr>
      <w:r>
        <w:rPr>
          <w:rFonts w:ascii="Arial" w:hAnsi="Arial" w:eastAsia="宋体" w:cs="Arial"/>
          <w:b/>
          <w:color w:val="auto"/>
          <w:sz w:val="32"/>
          <w:szCs w:val="32"/>
          <w:highlight w:val="none"/>
        </w:rPr>
      </w:r>
      <w:r/>
    </w:p>
    <w:p>
      <w:pPr>
        <w:pStyle w:val="738"/>
        <w:ind w:firstLine="1285"/>
        <w:jc w:val="both"/>
        <w:spacing w:before="120" w:beforeAutospacing="0" w:after="120" w:afterAutospacing="0" w:line="360" w:lineRule="auto"/>
        <w:widowControl/>
        <w:rPr>
          <w:rFonts w:hint="eastAsia" w:ascii="Arial" w:hAnsi="Arial" w:eastAsia="宋体" w:cs="Arial"/>
          <w:b/>
          <w:color w:val="auto"/>
          <w:sz w:val="32"/>
          <w:szCs w:val="32"/>
          <w:highlight w:val="none"/>
          <w:lang w:eastAsia="zh-CN"/>
        </w:rPr>
      </w:pPr>
      <w:r>
        <w:rPr>
          <w:rFonts w:hint="eastAsia" w:ascii="Arial" w:hAnsi="Arial" w:eastAsia="宋体" w:cs="Arial"/>
          <w:b/>
          <w:color w:val="auto"/>
          <w:sz w:val="32"/>
          <w:szCs w:val="32"/>
          <w:highlight w:val="none"/>
        </w:rPr>
        <w:t xml:space="preserve">采购代理机构：</w:t>
      </w:r>
      <w:r>
        <w:rPr>
          <w:rFonts w:hint="eastAsia" w:ascii="Arial" w:hAnsi="Arial" w:eastAsia="宋体" w:cs="Arial"/>
          <w:b/>
          <w:color w:val="auto"/>
          <w:sz w:val="32"/>
          <w:szCs w:val="32"/>
          <w:highlight w:val="none"/>
          <w:lang w:eastAsia="zh-CN"/>
        </w:rPr>
        <w:t xml:space="preserve">江苏策诚工程咨询有限公司</w:t>
      </w:r>
      <w:r/>
    </w:p>
    <w:p>
      <w:pPr>
        <w:pStyle w:val="738"/>
        <w:jc w:val="center"/>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38"/>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lang w:eastAsia="zh-CN"/>
        </w:rPr>
        <w:t xml:space="preserve">2025</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11</w:t>
      </w:r>
      <w:r>
        <w:rPr>
          <w:rFonts w:ascii="Arial" w:hAnsi="Arial" w:cs="Arial"/>
          <w:b/>
          <w:color w:val="auto"/>
          <w:sz w:val="32"/>
          <w:szCs w:val="32"/>
          <w:highlight w:val="none"/>
        </w:rPr>
        <w:t xml:space="preserve">月</w:t>
      </w:r>
      <w:r>
        <w:rPr>
          <w:rFonts w:hint="eastAsia" w:ascii="Arial" w:hAnsi="Arial" w:cs="Arial"/>
          <w:b/>
          <w:color w:val="auto"/>
          <w:sz w:val="32"/>
          <w:szCs w:val="32"/>
          <w:highlight w:val="none"/>
          <w:lang w:val="en-US" w:eastAsia="zh-CN"/>
        </w:rPr>
        <w:t xml:space="preserve">13</w:t>
      </w:r>
      <w:r>
        <w:rPr>
          <w:rFonts w:ascii="Arial" w:hAnsi="Arial" w:cs="Arial"/>
          <w:b/>
          <w:color w:val="auto"/>
          <w:sz w:val="32"/>
          <w:szCs w:val="32"/>
          <w:highlight w:val="none"/>
        </w:rPr>
        <w:t xml:space="preserve">日</w:t>
      </w:r>
      <w:r/>
    </w:p>
    <w:p>
      <w:pPr>
        <w:pStyle w:val="738"/>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738"/>
        <w:jc w:val="center"/>
        <w:spacing w:before="120" w:beforeAutospacing="0" w:after="120" w:afterAutospacing="0" w:line="360" w:lineRule="auto"/>
        <w:rPr>
          <w:color w:val="auto"/>
          <w:highlight w:val="none"/>
        </w:rPr>
      </w:pPr>
      <w:r>
        <w:rPr>
          <w:color w:val="auto"/>
          <w:highlight w:val="none"/>
        </w:rPr>
        <w:t xml:space="preserve"> </w:t>
      </w:r>
      <w:r/>
    </w:p>
    <w:p>
      <w:pPr>
        <w:pStyle w:val="738"/>
        <w:jc w:val="center"/>
        <w:spacing w:beforeAutospacing="0" w:afterAutospacing="0" w:line="480" w:lineRule="auto"/>
        <w:rPr>
          <w:color w:val="auto"/>
          <w:highlight w:val="none"/>
        </w:rPr>
      </w:pPr>
      <w:r>
        <w:rPr>
          <w:rFonts w:ascii="Times New Roman" w:hAnsi="Times New Roman"/>
          <w:color w:val="auto"/>
          <w:sz w:val="21"/>
          <w:szCs w:val="21"/>
          <w:highlight w:val="none"/>
        </w:rPr>
        <w:br w:type="page" w:clear="all"/>
      </w:r>
      <w:r>
        <w:rPr>
          <w:rFonts w:ascii="Times New Roman" w:hAnsi="Times New Roman"/>
          <w:color w:val="auto"/>
          <w:sz w:val="21"/>
          <w:szCs w:val="21"/>
          <w:highlight w:val="none"/>
        </w:rPr>
        <w:t xml:space="preserve"> </w:t>
      </w:r>
      <w:bookmarkStart w:id="0" w:name="_Toc479757206"/>
      <w:r/>
      <w:bookmarkStart w:id="1" w:name="_Toc16938516"/>
      <w:r/>
      <w:bookmarkStart w:id="2" w:name="_Toc20823272"/>
      <w:r/>
      <w:bookmarkStart w:id="3" w:name="_Toc523127445"/>
      <w:r/>
      <w:bookmarkStart w:id="4" w:name="_Toc120614210"/>
      <w:r/>
      <w:bookmarkStart w:id="5" w:name="_Toc513029200"/>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738"/>
        <w:jc w:val="both"/>
        <w:spacing w:beforeAutospacing="0" w:afterAutospacing="0" w:line="480" w:lineRule="auto"/>
        <w:rPr>
          <w:color w:val="auto"/>
          <w:highlight w:val="none"/>
        </w:rPr>
      </w:pPr>
      <w:r>
        <w:rPr>
          <w:color w:val="auto"/>
          <w:highlight w:val="none"/>
        </w:rPr>
        <w:t xml:space="preserve"> </w:t>
      </w:r>
      <w:r/>
    </w:p>
    <w:p>
      <w:pPr>
        <w:pStyle w:val="738"/>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lang w:val="en-US" w:eastAsia="zh-CN"/>
        </w:rPr>
        <w:t xml:space="preserve">招标公告</w:t>
      </w:r>
      <w:r>
        <w:rPr>
          <w:rFonts w:hint="eastAsia" w:ascii="黑体" w:hAnsi="宋体" w:eastAsia="黑体" w:cs="黑体"/>
          <w:color w:val="auto"/>
          <w:sz w:val="36"/>
          <w:szCs w:val="36"/>
          <w:highlight w:val="none"/>
        </w:rPr>
        <w:t xml:space="preserve">…………………………………… </w:t>
      </w:r>
      <w:r/>
    </w:p>
    <w:p>
      <w:pPr>
        <w:pStyle w:val="738"/>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投标人须知…………………………………  </w:t>
      </w:r>
      <w:r/>
    </w:p>
    <w:p>
      <w:pPr>
        <w:pStyle w:val="738"/>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合同</w:t>
      </w:r>
      <w:r>
        <w:rPr>
          <w:rFonts w:hint="eastAsia" w:ascii="黑体" w:hAnsi="宋体" w:eastAsia="黑体" w:cs="黑体"/>
          <w:color w:val="auto"/>
          <w:sz w:val="36"/>
          <w:szCs w:val="36"/>
          <w:highlight w:val="none"/>
          <w:lang w:eastAsia="zh-CN"/>
        </w:rPr>
        <w:t xml:space="preserve">条款</w:t>
      </w:r>
      <w:r>
        <w:rPr>
          <w:rFonts w:hint="eastAsia" w:ascii="黑体" w:hAnsi="宋体" w:eastAsia="黑体" w:cs="黑体"/>
          <w:color w:val="auto"/>
          <w:sz w:val="36"/>
          <w:szCs w:val="36"/>
          <w:highlight w:val="none"/>
        </w:rPr>
        <w:t xml:space="preserve">……………………………………</w:t>
      </w:r>
      <w:r/>
    </w:p>
    <w:p>
      <w:pPr>
        <w:pStyle w:val="738"/>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采购需求……………………………………</w:t>
      </w:r>
      <w:r/>
    </w:p>
    <w:p>
      <w:pPr>
        <w:pStyle w:val="738"/>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评标方法与评标标准………………………</w:t>
      </w:r>
      <w:r/>
    </w:p>
    <w:p>
      <w:pPr>
        <w:pStyle w:val="738"/>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投标文件格式………………………………</w:t>
      </w:r>
      <w:r/>
    </w:p>
    <w:p>
      <w:pPr>
        <w:pStyle w:val="738"/>
        <w:jc w:val="both"/>
        <w:spacing w:beforeAutospacing="0" w:afterAutospacing="0"/>
        <w:rPr>
          <w:color w:val="auto"/>
          <w:highlight w:val="none"/>
        </w:rPr>
      </w:pPr>
      <w:r>
        <w:rPr>
          <w:color w:val="auto"/>
          <w:highlight w:val="none"/>
        </w:rPr>
        <w:t xml:space="preserve"> </w:t>
      </w:r>
      <w:r/>
    </w:p>
    <w:p>
      <w:pPr>
        <w:pStyle w:val="738"/>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color w:val="auto"/>
          <w:sz w:val="44"/>
          <w:szCs w:val="44"/>
          <w:highlight w:val="none"/>
        </w:rPr>
      </w:pPr>
      <w:r/>
      <w:bookmarkStart w:id="6" w:name="_Toc28359086"/>
      <w:r>
        <w:rPr>
          <w:rFonts w:hint="eastAsia" w:ascii="黑体" w:hAnsi="宋体" w:eastAsia="黑体" w:cs="黑体"/>
          <w:color w:val="auto"/>
          <w:sz w:val="44"/>
          <w:szCs w:val="44"/>
          <w:highlight w:val="none"/>
        </w:rPr>
        <w:br w:type="page" w:clear="all"/>
      </w:r>
      <w:r/>
    </w:p>
    <w:p>
      <w:pPr>
        <w:pStyle w:val="738"/>
        <w:jc w:val="center"/>
        <w:keepNext/>
        <w:spacing w:beforeAutospacing="0" w:afterAutospacing="0"/>
        <w:rPr>
          <w:rFonts w:hint="default" w:eastAsia="黑体"/>
          <w:color w:val="auto"/>
          <w:highlight w:val="none"/>
          <w:lang w:val="en-US" w:eastAsia="zh-CN"/>
        </w:rPr>
      </w:pPr>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r/>
    </w:p>
    <w:p>
      <w:pPr>
        <w:pStyle w:val="738"/>
        <w:ind w:firstLine="480"/>
        <w:jc w:val="both"/>
        <w:spacing w:beforeAutospacing="0" w:afterAutospacing="0" w:line="360" w:lineRule="auto"/>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738"/>
        <w:ind w:firstLine="480"/>
        <w:jc w:val="both"/>
        <w:spacing w:beforeAutospacing="0" w:afterAutospacing="0" w:line="360" w:lineRule="auto"/>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val="en-US" w:eastAsia="zh-CN"/>
        </w:rPr>
        <w:t xml:space="preserve">东台市实验小学未来实验室建设项目（第二次）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JSZC-320981-CCGC-G2025-0048</w:t>
      </w:r>
      <w:r>
        <w:rPr>
          <w:rFonts w:hint="eastAsia" w:ascii="宋体" w:hAnsi="宋体" w:eastAsia="宋体" w:cs="宋体"/>
          <w:color w:val="auto"/>
          <w:sz w:val="24"/>
          <w:szCs w:val="24"/>
          <w:highlight w:val="none"/>
        </w:rPr>
        <w:t xml:space="preserve">招标项目的潜在投标人</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rPr>
        <w:t xml:space="preserve">，并于2025-</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04</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北京时间）前递交投标文件。</w:t>
      </w:r>
      <w:r/>
    </w:p>
    <w:p>
      <w:pPr>
        <w:pStyle w:val="738"/>
        <w:ind w:firstLine="482"/>
        <w:jc w:val="both"/>
        <w:keepLines/>
        <w:keepNext/>
        <w:pageBreakBefore w:val="0"/>
        <w:spacing w:beforeAutospacing="0" w:afterAutospacing="0" w:line="360" w:lineRule="auto"/>
        <w:rPr>
          <w:rFonts w:hint="eastAsia" w:ascii="宋体" w:hAnsi="宋体" w:eastAsia="宋体" w:cs="宋体"/>
          <w:color w:val="auto"/>
          <w:sz w:val="24"/>
          <w:szCs w:val="24"/>
          <w:highlight w:val="none"/>
        </w:rPr>
      </w:pPr>
      <w:r/>
      <w:bookmarkStart w:id="7" w:name="_Toc35393790"/>
      <w:r/>
      <w:bookmarkStart w:id="8" w:name="_Toc38985263"/>
      <w:r/>
      <w:bookmarkStart w:id="9" w:name="_Toc28359079"/>
      <w:r/>
      <w:bookmarkStart w:id="10" w:name="_Hlk24379207"/>
      <w:r/>
      <w:bookmarkStart w:id="11" w:name="_Toc35393621"/>
      <w:r/>
      <w:bookmarkStart w:id="12" w:name="_Toc28359002"/>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pStyle w:val="738"/>
        <w:ind w:firstLine="480"/>
        <w:jc w:val="both"/>
        <w:pageBreakBefore w:val="0"/>
        <w:spacing w:beforeAutospacing="0" w:afterAutospacing="0" w:line="360" w:lineRule="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项目编号：</w:t>
      </w:r>
      <w:r>
        <w:rPr>
          <w:rFonts w:hint="eastAsia" w:ascii="宋体" w:hAnsi="宋体" w:eastAsia="宋体" w:cs="宋体"/>
          <w:color w:val="auto"/>
          <w:sz w:val="24"/>
          <w:szCs w:val="24"/>
          <w:highlight w:val="none"/>
          <w:u w:val="none"/>
          <w:lang w:eastAsia="zh-CN"/>
        </w:rPr>
        <w:t xml:space="preserve">JSZC-320981-CCGC-G2025-0048</w:t>
      </w:r>
      <w:r/>
    </w:p>
    <w:p>
      <w:pPr>
        <w:pStyle w:val="738"/>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shd w:val="clear" w:color="auto" w:fill="auto"/>
        </w:rPr>
        <w:t xml:space="preserve">目名称：</w:t>
      </w:r>
      <w:r>
        <w:rPr>
          <w:rFonts w:hint="eastAsia" w:ascii="宋体" w:hAnsi="宋体" w:eastAsia="宋体" w:cs="宋体"/>
          <w:color w:val="auto"/>
          <w:sz w:val="24"/>
          <w:szCs w:val="24"/>
          <w:highlight w:val="none"/>
          <w:shd w:val="clear" w:color="auto" w:fill="auto"/>
          <w:lang w:eastAsia="zh-CN"/>
        </w:rPr>
        <w:t xml:space="preserve">东台市实验小学未来实验室建设项目（第二次）</w:t>
      </w:r>
      <w:r/>
    </w:p>
    <w:p>
      <w:pPr>
        <w:pStyle w:val="738"/>
        <w:ind w:firstLine="480"/>
        <w:jc w:val="both"/>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738"/>
        <w:ind w:firstLine="480"/>
        <w:jc w:val="both"/>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160.000000万元</w:t>
      </w:r>
      <w:r/>
    </w:p>
    <w:p>
      <w:pPr>
        <w:pStyle w:val="738"/>
        <w:ind w:firstLine="480"/>
        <w:jc w:val="both"/>
        <w:pageBreakBefore w:val="0"/>
        <w:spacing w:beforeAutospacing="0" w:afterAutospacing="0" w:line="360" w:lineRule="auto"/>
        <w:rPr>
          <w:rFonts w:hint="default" w:ascii="宋体" w:hAnsi="宋体" w:eastAsia="宋体" w:cs="宋体"/>
          <w:color w:val="auto"/>
          <w:sz w:val="24"/>
          <w:szCs w:val="24"/>
          <w:highlight w:val="none"/>
          <w:shd w:val="clear" w:color="ffffff" w:fill="d9d9d9"/>
          <w:lang w:val="en-US" w:eastAsia="zh-CN"/>
        </w:rPr>
      </w:pPr>
      <w:r>
        <w:rPr>
          <w:rFonts w:hint="eastAsia" w:ascii="宋体" w:hAnsi="宋体" w:eastAsia="宋体" w:cs="宋体"/>
          <w:i w:val="0"/>
          <w:iCs w:val="0"/>
          <w:caps w:val="0"/>
          <w:color w:val="auto"/>
          <w:spacing w:val="0"/>
          <w:sz w:val="24"/>
          <w:szCs w:val="24"/>
          <w:highlight w:val="none"/>
          <w:shd w:val="clear" w:color="auto" w:fill="ffffff"/>
        </w:rPr>
        <w:t xml:space="preserve">最高限价（如有）：</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158</w:t>
      </w:r>
      <w:r>
        <w:rPr>
          <w:rFonts w:hint="eastAsia" w:ascii="宋体" w:hAnsi="宋体" w:eastAsia="宋体" w:cs="宋体"/>
          <w:color w:val="auto"/>
          <w:sz w:val="24"/>
          <w:szCs w:val="24"/>
          <w:highlight w:val="none"/>
          <w:lang w:val="en-US" w:eastAsia="zh-CN"/>
        </w:rPr>
        <w:t xml:space="preserve">万元</w:t>
      </w:r>
      <w:r/>
    </w:p>
    <w:p>
      <w:pPr>
        <w:pStyle w:val="738"/>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采购需求（简介）：</w:t>
      </w:r>
      <w:r/>
    </w:p>
    <w:p>
      <w:pPr>
        <w:pStyle w:val="738"/>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lang w:val="en-US" w:eastAsia="zh-CN"/>
        </w:rPr>
        <w:t xml:space="preserve">东台市实验小学未来实验室建设项目（第二次），拟建设未来实验室2间,并按招标文件要求提供相关服务，确保满足招标文件的要求和招标人的实际使用需求。</w:t>
      </w:r>
      <w:r>
        <w:rPr>
          <w:rFonts w:hint="eastAsia" w:ascii="宋体" w:hAnsi="宋体" w:eastAsia="宋体" w:cs="宋体"/>
          <w:color w:val="auto"/>
          <w:sz w:val="24"/>
          <w:szCs w:val="24"/>
          <w:highlight w:val="none"/>
          <w:shd w:val="clear" w:color="auto" w:fill="auto"/>
        </w:rPr>
        <w:t xml:space="preserve">（详</w:t>
      </w:r>
      <w:r>
        <w:rPr>
          <w:rFonts w:hint="eastAsia" w:ascii="宋体" w:hAnsi="宋体" w:eastAsia="宋体" w:cs="宋体"/>
          <w:color w:val="auto"/>
          <w:sz w:val="24"/>
          <w:szCs w:val="24"/>
          <w:highlight w:val="none"/>
        </w:rPr>
        <w:t xml:space="preserve">细内容见本</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文件第四章）</w:t>
      </w:r>
      <w:r/>
    </w:p>
    <w:p>
      <w:pPr>
        <w:pStyle w:val="738"/>
        <w:ind w:firstLine="480"/>
        <w:jc w:val="both"/>
        <w:pageBreakBefore w:val="0"/>
        <w:spacing w:beforeAutospacing="0" w:afterAutospacing="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合同签订后30日历天内货物全部送达招标人指定位置且安装、调试完毕，并确保正常稳定运行。</w:t>
      </w:r>
      <w:r/>
    </w:p>
    <w:p>
      <w:pPr>
        <w:ind w:firstLine="480"/>
        <w:pageBreakBefore w:val="0"/>
        <w:spacing w:line="360" w:lineRule="auto"/>
        <w:rPr>
          <w:rFonts w:hint="eastAsia" w:ascii="宋体" w:hAnsi="宋体" w:eastAsia="宋体" w:cs="宋体"/>
          <w:color w:val="auto"/>
          <w:sz w:val="24"/>
          <w:highlight w:val="none"/>
          <w:u w:val="none"/>
          <w:lang w:eastAsia="zh-CN"/>
        </w:rPr>
      </w:pPr>
      <w:r/>
      <w:bookmarkStart w:id="13" w:name="_Toc35393791"/>
      <w:r/>
      <w:bookmarkStart w:id="14" w:name="_Toc35393622"/>
      <w:r/>
      <w:bookmarkStart w:id="15" w:name="_Toc28359080"/>
      <w:r/>
      <w:bookmarkStart w:id="16" w:name="_Toc28359003"/>
      <w:r/>
      <w:bookmarkStart w:id="17" w:name="_Toc38985264"/>
      <w:r>
        <w:rPr>
          <w:rFonts w:hint="eastAsia" w:ascii="宋体" w:hAnsi="宋体" w:eastAsia="宋体" w:cs="宋体"/>
          <w:color w:val="auto"/>
          <w:sz w:val="24"/>
          <w:highlight w:val="none"/>
          <w:u w:val="none"/>
          <w:lang w:eastAsia="zh-CN"/>
        </w:rPr>
        <w:t xml:space="preserve">本项目（是/否）接受联合体投标：否</w:t>
      </w:r>
      <w:r/>
    </w:p>
    <w:p>
      <w:pPr>
        <w:pStyle w:val="738"/>
        <w:ind w:firstLine="482"/>
        <w:jc w:val="both"/>
        <w:keepLines/>
        <w:keepNext/>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二、申请人的资格要求：</w:t>
      </w:r>
      <w:bookmarkEnd w:id="13"/>
      <w:r/>
      <w:bookmarkEnd w:id="14"/>
      <w:r/>
      <w:bookmarkEnd w:id="15"/>
      <w:r/>
      <w:bookmarkEnd w:id="16"/>
      <w:r/>
      <w:bookmarkEnd w:id="17"/>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（一）满足《中华人民共和国政府采购法》第二十二条规定：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1.法人或者其他组织的营业执照等证明文件；</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上一年度或上上年度的财务状况报表（成立不满一年无需提供）；</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3.具备履行合同所必需的设备和专业技术能力的书面声明；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5.参加政府采购活动前3年内在经营活动中没有重大违法记录的书面声明；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6.投标人法定代表人身份证明和投标文件签署授权委托书（另附法定代表人和被授权人的身份证复印件或扫描件）；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7.投标人为被授权人缴纳的社会养老保险证明（如有）；</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8.法律、行政法规规定的其他条件；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10.单位负责人为同一人或者存在直接控股、管理关系的不同供应商，不得参加同一合同项下的政府采购活动（自行承诺，格式自理）。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（二）落实政府采购政策需满足的资格要求：</w:t>
      </w:r>
      <w:r/>
    </w:p>
    <w:p>
      <w:pPr>
        <w:ind w:firstLine="480"/>
        <w:spacing w:line="360" w:lineRule="auto"/>
        <w:rPr>
          <w:rFonts w:hint="eastAsia" w:ascii="宋体" w:hAnsi="宋体" w:eastAsia="宋体" w:cs="宋体"/>
          <w:b w:val="0"/>
          <w:bCs w:val="0"/>
          <w:i w:val="0"/>
          <w:iCs w:val="0"/>
          <w:color w:val="auto"/>
          <w:sz w:val="24"/>
          <w:highlight w:val="none"/>
          <w:u w:val="none"/>
        </w:rPr>
      </w:pPr>
      <w:r>
        <w:rPr>
          <w:rFonts w:hint="eastAsia" w:ascii="宋体" w:hAnsi="宋体" w:eastAsia="宋体" w:cs="宋体"/>
          <w:b w:val="0"/>
          <w:bCs w:val="0"/>
          <w:i w:val="0"/>
          <w:iCs w:val="0"/>
          <w:color w:val="auto"/>
          <w:sz w:val="24"/>
          <w:highlight w:val="none"/>
          <w:u w:val="none"/>
        </w:rPr>
        <w:t xml:space="preserve">本项目为专门面向中小企业采购的采购项目，</w:t>
      </w:r>
      <w:r>
        <w:rPr>
          <w:rFonts w:hint="eastAsia" w:ascii="宋体" w:hAnsi="宋体" w:eastAsia="宋体" w:cs="宋体"/>
          <w:b w:val="0"/>
          <w:bCs w:val="0"/>
          <w:i w:val="0"/>
          <w:iCs w:val="0"/>
          <w:color w:val="auto"/>
          <w:sz w:val="24"/>
          <w:highlight w:val="none"/>
          <w:u w:val="none"/>
          <w:lang w:val="en-US" w:eastAsia="zh-CN"/>
        </w:rPr>
        <w:t xml:space="preserve">投标人投标</w:t>
      </w:r>
      <w:r>
        <w:rPr>
          <w:rFonts w:hint="eastAsia" w:ascii="宋体" w:hAnsi="宋体" w:eastAsia="宋体" w:cs="宋体"/>
          <w:b w:val="0"/>
          <w:bCs w:val="0"/>
          <w:i w:val="0"/>
          <w:iCs w:val="0"/>
          <w:color w:val="auto"/>
          <w:sz w:val="24"/>
          <w:highlight w:val="none"/>
          <w:u w:val="none"/>
        </w:rPr>
        <w:t xml:space="preserve">文件中须提供《中小企业声明函》，《中小企业声明函》不符合要求或未提供的，</w:t>
      </w:r>
      <w:r>
        <w:rPr>
          <w:rFonts w:hint="eastAsia" w:ascii="宋体" w:hAnsi="宋体" w:eastAsia="宋体" w:cs="宋体"/>
          <w:b w:val="0"/>
          <w:bCs w:val="0"/>
          <w:i w:val="0"/>
          <w:iCs w:val="0"/>
          <w:color w:val="auto"/>
          <w:sz w:val="24"/>
          <w:highlight w:val="none"/>
          <w:u w:val="none"/>
          <w:lang w:val="en-US" w:eastAsia="zh-CN"/>
        </w:rPr>
        <w:t xml:space="preserve">投标</w:t>
      </w:r>
      <w:r>
        <w:rPr>
          <w:rFonts w:hint="eastAsia" w:ascii="宋体" w:hAnsi="宋体" w:eastAsia="宋体" w:cs="宋体"/>
          <w:b w:val="0"/>
          <w:bCs w:val="0"/>
          <w:i w:val="0"/>
          <w:iCs w:val="0"/>
          <w:color w:val="auto"/>
          <w:sz w:val="24"/>
          <w:highlight w:val="none"/>
          <w:u w:val="none"/>
        </w:rPr>
        <w:t xml:space="preserve">文件无效。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（三）本项目的特定资格要求：</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无</w:t>
      </w:r>
      <w:r/>
    </w:p>
    <w:p>
      <w:pPr>
        <w:pStyle w:val="738"/>
        <w:ind w:firstLine="482"/>
        <w:jc w:val="both"/>
        <w:keepLines/>
        <w:keepNext/>
        <w:pageBreakBefore w:val="0"/>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三、获取招标文件</w:t>
      </w:r>
      <w:r/>
    </w:p>
    <w:p>
      <w:pPr>
        <w:pStyle w:val="73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18" w:name="_Toc28359082"/>
      <w:r/>
      <w:bookmarkStart w:id="19" w:name="_Toc38985266"/>
      <w:r/>
      <w:bookmarkStart w:id="20" w:name="_Toc28359005"/>
      <w:r/>
      <w:bookmarkStart w:id="21" w:name="_Toc35393624"/>
      <w:r/>
      <w:bookmarkStart w:id="22" w:name="_Toc35393793"/>
      <w:r>
        <w:rPr>
          <w:rFonts w:hint="eastAsia" w:ascii="宋体" w:hAnsi="宋体" w:eastAsia="宋体" w:cs="宋体"/>
          <w:color w:val="auto"/>
          <w:sz w:val="24"/>
          <w:szCs w:val="24"/>
          <w:highlight w:val="none"/>
          <w:shd w:val="clear" w:color="auto" w:fill="auto"/>
        </w:rPr>
        <w:t xml:space="preserve">时间：</w:t>
      </w:r>
      <w:bookmarkEnd w:id="18"/>
      <w:r/>
      <w:bookmarkEnd w:id="19"/>
      <w:r/>
      <w:bookmarkEnd w:id="20"/>
      <w:r/>
      <w:bookmarkEnd w:id="21"/>
      <w:r/>
      <w:bookmarkEnd w:id="22"/>
      <w:r>
        <w:rPr>
          <w:rFonts w:hint="eastAsia" w:ascii="宋体" w:hAnsi="宋体" w:eastAsia="宋体" w:cs="宋体"/>
          <w:color w:val="auto"/>
          <w:sz w:val="24"/>
          <w:szCs w:val="24"/>
          <w:highlight w:val="none"/>
          <w:shd w:val="clear" w:color="auto" w:fill="auto"/>
        </w:rPr>
        <w:t xml:space="preserve">自招标文件公告发布之日起5个工作日。</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地点：“苏采云”系统内免费下载（投标人必须在苏采云系统中获取采购文件，方能参与政府采购项目）；</w:t>
      </w:r>
      <w:r/>
    </w:p>
    <w:p>
      <w:pPr>
        <w:pStyle w:val="73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方式：本项目采用网上注册登记方式</w:t>
      </w:r>
      <w:r/>
    </w:p>
    <w:p>
      <w:pPr>
        <w:ind w:firstLine="480"/>
        <w:jc w:val="left"/>
        <w:pageBreakBefore w:val="0"/>
        <w:spacing w:line="36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售价：</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en-US" w:eastAsia="zh-CN"/>
        </w:rPr>
        <w:t xml:space="preserve">.00</w:t>
      </w:r>
      <w:r>
        <w:rPr>
          <w:rFonts w:hint="eastAsia" w:ascii="宋体" w:hAnsi="宋体" w:eastAsia="宋体" w:cs="宋体"/>
          <w:color w:val="auto"/>
          <w:sz w:val="24"/>
          <w:szCs w:val="24"/>
          <w:highlight w:val="none"/>
          <w:shd w:val="clear" w:color="auto" w:fill="auto"/>
          <w:lang w:val="en-US" w:eastAsia="zh-CN"/>
        </w:rPr>
        <w:t xml:space="preserve">元</w:t>
      </w:r>
      <w:r/>
    </w:p>
    <w:p>
      <w:pPr>
        <w:pStyle w:val="738"/>
        <w:ind w:firstLine="482"/>
        <w:jc w:val="both"/>
        <w:keepLines/>
        <w:keepNext/>
        <w:pageBreakBefore w:val="0"/>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四、提交投标文件截止时间、开标时间和地点</w:t>
      </w:r>
      <w:r/>
    </w:p>
    <w:p>
      <w:pPr>
        <w:pStyle w:val="738"/>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2025-</w:t>
      </w:r>
      <w:r>
        <w:rPr>
          <w:rFonts w:hint="eastAsia" w:ascii="宋体" w:hAnsi="宋体" w:eastAsia="宋体" w:cs="宋体"/>
          <w:color w:val="auto"/>
          <w:sz w:val="24"/>
          <w:szCs w:val="24"/>
          <w:highlight w:val="none"/>
          <w:shd w:val="clear" w:color="auto" w:fill="auto"/>
          <w:lang w:val="en-US" w:eastAsia="zh-CN"/>
        </w:rPr>
        <w:t xml:space="preserve">12</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04 15</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0</w:t>
      </w:r>
      <w:r>
        <w:rPr>
          <w:rFonts w:hint="eastAsia" w:ascii="宋体" w:hAnsi="宋体" w:eastAsia="宋体" w:cs="宋体"/>
          <w:color w:val="auto"/>
          <w:sz w:val="24"/>
          <w:szCs w:val="24"/>
          <w:highlight w:val="none"/>
          <w:shd w:val="clear" w:color="auto" w:fill="auto"/>
        </w:rPr>
        <w:t xml:space="preserve">0（北京时间）</w:t>
      </w:r>
      <w:r/>
    </w:p>
    <w:p>
      <w:pPr>
        <w:pStyle w:val="738"/>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地点：苏采云“不见面”开标大厅</w:t>
      </w:r>
      <w:r/>
    </w:p>
    <w:p>
      <w:pPr>
        <w:pStyle w:val="738"/>
        <w:ind w:firstLine="482"/>
        <w:jc w:val="both"/>
        <w:keepLines/>
        <w:keepNext/>
        <w:pageBreakBefore w:val="0"/>
        <w:spacing w:beforeAutospacing="0" w:afterAutospacing="0" w:line="360" w:lineRule="auto"/>
        <w:rPr>
          <w:rFonts w:hint="eastAsia" w:ascii="宋体" w:hAnsi="宋体" w:eastAsia="宋体" w:cs="宋体"/>
          <w:color w:val="auto"/>
          <w:sz w:val="24"/>
          <w:szCs w:val="24"/>
          <w:highlight w:val="none"/>
        </w:rPr>
      </w:pPr>
      <w:r/>
      <w:bookmarkStart w:id="23" w:name="_Toc35393625"/>
      <w:r/>
      <w:bookmarkStart w:id="24" w:name="_Toc35393794"/>
      <w:r/>
      <w:bookmarkStart w:id="25" w:name="_Toc38985267"/>
      <w:r/>
      <w:bookmarkStart w:id="26" w:name="_Toc28359084"/>
      <w:r/>
      <w:bookmarkStart w:id="27" w:name="_Toc28359007"/>
      <w:r>
        <w:rPr>
          <w:rFonts w:hint="eastAsia" w:ascii="宋体" w:hAnsi="宋体" w:eastAsia="宋体" w:cs="宋体"/>
          <w:b/>
          <w:color w:val="auto"/>
          <w:sz w:val="24"/>
          <w:szCs w:val="24"/>
          <w:highlight w:val="none"/>
        </w:rPr>
        <w:t xml:space="preserve">五、公告期限</w:t>
      </w:r>
      <w:bookmarkEnd w:id="23"/>
      <w:r/>
      <w:bookmarkEnd w:id="24"/>
      <w:r/>
      <w:bookmarkEnd w:id="25"/>
      <w:r/>
      <w:bookmarkEnd w:id="26"/>
      <w:r/>
      <w:bookmarkEnd w:id="27"/>
      <w:r/>
      <w:r/>
    </w:p>
    <w:p>
      <w:pPr>
        <w:pStyle w:val="73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35393795"/>
      <w:r/>
      <w:bookmarkStart w:id="29" w:name="_Toc38985268"/>
      <w:r/>
      <w:bookmarkStart w:id="30" w:name="_Toc35393626"/>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8"/>
      <w:r/>
      <w:bookmarkEnd w:id="29"/>
      <w:r/>
      <w:bookmarkEnd w:id="30"/>
      <w:r/>
      <w:r/>
    </w:p>
    <w:p>
      <w:pPr>
        <w:pStyle w:val="738"/>
        <w:ind w:firstLine="482"/>
        <w:jc w:val="both"/>
        <w:keepLines/>
        <w:keepNext/>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73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3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73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2.潜在供应商访问电子招标响应交易平台的网络地址和方法： </w:t>
      </w:r>
      <w:r/>
    </w:p>
    <w:p>
      <w:pPr>
        <w:pStyle w:val="73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73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2.2 潜在投标人访问“苏采云”系统方法：江苏省政府采购网首页-“苏采云”链接。 </w:t>
      </w:r>
      <w:r/>
    </w:p>
    <w:p>
      <w:pPr>
        <w:pStyle w:val="73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2.3 采购文件（后缀名为“.kedt”）、供应商操作手册及政府采购客户端 工具可通过“苏采云”系统相应链接进行下载。 </w:t>
      </w:r>
      <w:r/>
    </w:p>
    <w:p>
      <w:pPr>
        <w:pStyle w:val="73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2.4 采购代理机构将数据电文形式的采购文件加载至“苏采云”系统，供潜在供应商下载或者查阅。 </w:t>
      </w:r>
      <w:r/>
    </w:p>
    <w:p>
      <w:pPr>
        <w:pStyle w:val="73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pStyle w:val="73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3.有关本次招标的事项若存在变动或修改，敬请及时关注盐城市政府采购中心在“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江苏政府采购网”“盐城市政府采购网”发布的更正公告。</w:t>
      </w:r>
      <w:r/>
    </w:p>
    <w:p>
      <w:pPr>
        <w:pStyle w:val="73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.本项目（是/否）接受银行、保险、石油石化、电力、电信等行业的分支机构参与：</w:t>
      </w:r>
      <w:r>
        <w:rPr>
          <w:rFonts w:hint="eastAsia" w:ascii="宋体" w:hAnsi="宋体" w:cs="宋体"/>
          <w:color w:val="auto"/>
          <w:sz w:val="24"/>
          <w:highlight w:val="none"/>
          <w:lang w:val="en-US" w:eastAsia="zh-CN"/>
        </w:rPr>
        <w:t xml:space="preserve">是</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.供应商成交后打印纸质响应文件（正本壹份、副本</w:t>
      </w:r>
      <w:r>
        <w:rPr>
          <w:rFonts w:hint="eastAsia" w:ascii="宋体" w:hAnsi="宋体" w:cs="宋体"/>
          <w:color w:val="auto"/>
          <w:sz w:val="24"/>
          <w:highlight w:val="none"/>
          <w:lang w:val="en-US" w:eastAsia="zh-CN"/>
        </w:rPr>
        <w:t xml:space="preserve">叁</w:t>
      </w:r>
      <w:r>
        <w:rPr>
          <w:rFonts w:hint="eastAsia" w:ascii="宋体" w:hAnsi="宋体" w:cs="宋体"/>
          <w:color w:val="auto"/>
          <w:sz w:val="24"/>
          <w:highlight w:val="none"/>
        </w:rPr>
        <w:t xml:space="preserve">份），在领取成交通知书前与用普通光盘或U盘拷贝的电子响应文件一并送至采购人。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七</w:t>
      </w:r>
      <w:r>
        <w:rPr>
          <w:rFonts w:hint="eastAsia" w:ascii="宋体" w:hAnsi="宋体" w:cs="宋体"/>
          <w:color w:val="auto"/>
          <w:sz w:val="24"/>
          <w:highlight w:val="none"/>
        </w:rPr>
        <w:t xml:space="preserve">、对本次</w:t>
      </w:r>
      <w:r>
        <w:rPr>
          <w:rFonts w:hint="eastAsia" w:ascii="宋体" w:hAnsi="宋体" w:cs="宋体"/>
          <w:color w:val="auto"/>
          <w:sz w:val="24"/>
          <w:highlight w:val="none"/>
          <w:lang w:val="en-US" w:eastAsia="zh-CN"/>
        </w:rPr>
        <w:t xml:space="preserve">招标</w:t>
      </w:r>
      <w:r>
        <w:rPr>
          <w:rFonts w:hint="eastAsia" w:ascii="宋体" w:hAnsi="宋体" w:cs="宋体"/>
          <w:color w:val="auto"/>
          <w:sz w:val="24"/>
          <w:highlight w:val="none"/>
        </w:rPr>
        <w:t xml:space="preserve">提出询问，请按以下方式联系。</w:t>
      </w:r>
      <w:bookmarkEnd w:id="31"/>
      <w:r/>
      <w:r/>
    </w:p>
    <w:p>
      <w:pPr>
        <w:pStyle w:val="73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单位名称：</w:t>
      </w:r>
      <w:r>
        <w:rPr>
          <w:rFonts w:hint="eastAsia" w:ascii="宋体" w:hAnsi="宋体" w:eastAsia="宋体" w:cs="宋体"/>
          <w:color w:val="auto"/>
          <w:sz w:val="24"/>
          <w:highlight w:val="none"/>
          <w:lang w:eastAsia="zh-CN"/>
        </w:rPr>
        <w:t xml:space="preserve">东台市实验小学</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单位地址：</w:t>
      </w:r>
      <w:r>
        <w:rPr>
          <w:rFonts w:hint="eastAsia" w:ascii="宋体" w:hAnsi="宋体" w:eastAsia="宋体" w:cs="宋体"/>
          <w:color w:val="auto"/>
          <w:sz w:val="24"/>
          <w:szCs w:val="24"/>
          <w:highlight w:val="none"/>
          <w:lang w:val="en-US" w:eastAsia="zh-CN"/>
        </w:rPr>
        <w:t xml:space="preserve">东台市红兰南路111号</w:t>
      </w:r>
      <w:r/>
    </w:p>
    <w:p>
      <w:pPr>
        <w:pStyle w:val="738"/>
        <w:ind w:left="0" w:right="0" w:firstLine="480"/>
        <w:jc w:val="both"/>
        <w:keepLines w:val="0"/>
        <w:keepNext w:val="0"/>
        <w:pageBreakBefore w:val="0"/>
        <w:spacing w:beforeAutospacing="0" w:afterAutospacing="0" w:line="36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w:t>
      </w:r>
      <w:r>
        <w:rPr>
          <w:rFonts w:hint="eastAsia" w:ascii="宋体" w:hAnsi="宋体" w:eastAsia="宋体" w:cs="宋体"/>
          <w:color w:val="auto"/>
          <w:sz w:val="24"/>
          <w:szCs w:val="24"/>
          <w:highlight w:val="none"/>
          <w:lang w:val="en-US" w:eastAsia="zh-CN"/>
        </w:rPr>
        <w:t xml:space="preserve">王先生</w:t>
      </w:r>
      <w:r/>
    </w:p>
    <w:p>
      <w:pPr>
        <w:pStyle w:val="738"/>
        <w:ind w:left="0" w:right="0" w:firstLine="480"/>
        <w:jc w:val="both"/>
        <w:keepLines w:val="0"/>
        <w:keepNext w:val="0"/>
        <w:pageBreakBefore w:val="0"/>
        <w:spacing w:beforeAutospacing="0" w:afterAutospacing="0" w:line="36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w:t>
      </w:r>
      <w:r>
        <w:rPr>
          <w:rFonts w:hint="eastAsia" w:ascii="宋体" w:hAnsi="宋体" w:eastAsia="宋体" w:cs="宋体"/>
          <w:color w:val="auto"/>
          <w:sz w:val="24"/>
          <w:szCs w:val="24"/>
          <w:highlight w:val="none"/>
          <w:lang w:val="en-US" w:eastAsia="zh-CN"/>
        </w:rPr>
        <w:t xml:space="preserve">18796592966</w:t>
      </w:r>
      <w:r/>
    </w:p>
    <w:p>
      <w:pPr>
        <w:pStyle w:val="73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单位名称：</w:t>
      </w:r>
      <w:r>
        <w:rPr>
          <w:rFonts w:hint="eastAsia" w:ascii="宋体" w:hAnsi="宋体" w:eastAsia="宋体" w:cs="宋体"/>
          <w:color w:val="auto"/>
          <w:sz w:val="24"/>
          <w:highlight w:val="none"/>
          <w:lang w:eastAsia="zh-CN"/>
        </w:rPr>
        <w:t xml:space="preserve">江苏策诚工程咨询有限公司</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单位地址：</w:t>
      </w:r>
      <w:r>
        <w:rPr>
          <w:rFonts w:hint="eastAsia" w:ascii="宋体" w:hAnsi="宋体" w:eastAsia="宋体" w:cs="宋体"/>
          <w:color w:val="auto"/>
          <w:sz w:val="24"/>
          <w:highlight w:val="none"/>
          <w:lang w:eastAsia="zh-CN"/>
        </w:rPr>
        <w:t xml:space="preserve">东台市唯诚大厦20层</w:t>
      </w:r>
      <w:r/>
    </w:p>
    <w:p>
      <w:pPr>
        <w:ind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张先生</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17851635261</w:t>
      </w:r>
      <w:r>
        <w:rPr>
          <w:rFonts w:hint="eastAsia" w:ascii="宋体" w:hAnsi="宋体" w:eastAsia="宋体" w:cs="宋体"/>
          <w:color w:val="auto"/>
          <w:sz w:val="24"/>
          <w:szCs w:val="24"/>
          <w:highlight w:val="none"/>
        </w:rPr>
        <w:t xml:space="preserve">  </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张</w:t>
      </w:r>
      <w:r>
        <w:rPr>
          <w:rFonts w:hint="eastAsia" w:ascii="宋体" w:hAnsi="宋体" w:eastAsia="宋体" w:cs="宋体"/>
          <w:color w:val="auto"/>
          <w:sz w:val="24"/>
          <w:szCs w:val="24"/>
          <w:highlight w:val="none"/>
        </w:rPr>
        <w:t xml:space="preserve">先生</w:t>
      </w:r>
      <w:r/>
    </w:p>
    <w:p>
      <w:pPr>
        <w:ind w:firstLine="48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eastAsia="zh-CN"/>
        </w:rPr>
        <w:t xml:space="preserve">17851635261</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br w:type="page" w:clear="all"/>
      </w:r>
      <w:bookmarkStart w:id="32" w:name="_Toc120614211"/>
      <w:r/>
      <w:r/>
    </w:p>
    <w:p>
      <w:pPr>
        <w:pStyle w:val="738"/>
        <w:jc w:val="center"/>
        <w:keepLines/>
        <w:keepNext/>
        <w:pageBreakBefore w:val="0"/>
        <w:spacing w:beforeAutospacing="0" w:afterAutospacing="0" w:line="360" w:lineRule="auto"/>
        <w:widowControl w:val="off"/>
        <w:rPr>
          <w:color w:val="auto"/>
          <w:highlight w:val="none"/>
        </w:rPr>
      </w:pPr>
      <w:r>
        <w:rPr>
          <w:rFonts w:hint="eastAsia" w:ascii="黑体" w:hAnsi="宋体" w:eastAsia="黑体" w:cs="黑体"/>
          <w:b/>
          <w:color w:val="auto"/>
          <w:sz w:val="44"/>
          <w:szCs w:val="44"/>
          <w:highlight w:val="none"/>
        </w:rPr>
        <w:t xml:space="preserve">第二章  </w:t>
      </w:r>
      <w:bookmarkEnd w:id="32"/>
      <w:r/>
      <w:bookmarkStart w:id="33" w:name="_Toc20823274"/>
      <w:r/>
      <w:bookmarkStart w:id="34" w:name="_Toc120614213"/>
      <w:r/>
      <w:bookmarkStart w:id="35" w:name="_Toc513029202"/>
      <w:r/>
      <w:bookmarkStart w:id="36" w:name="_Toc16938518"/>
      <w:r>
        <w:rPr>
          <w:rFonts w:hint="eastAsia" w:ascii="黑体" w:hAnsi="宋体" w:eastAsia="黑体" w:cs="黑体"/>
          <w:b/>
          <w:color w:val="auto"/>
          <w:sz w:val="44"/>
          <w:szCs w:val="44"/>
          <w:highlight w:val="none"/>
        </w:rPr>
        <w:t xml:space="preserve">投标人须知</w:t>
      </w:r>
      <w:bookmarkEnd w:id="33"/>
      <w:r/>
      <w:bookmarkEnd w:id="34"/>
      <w:r/>
      <w:bookmarkEnd w:id="35"/>
      <w:r/>
      <w:bookmarkEnd w:id="36"/>
      <w:r/>
      <w:r/>
    </w:p>
    <w:p>
      <w:pPr>
        <w:pStyle w:val="738"/>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37" w:name="_Toc120614214"/>
      <w:r/>
      <w:bookmarkStart w:id="38" w:name="_Toc513029203"/>
      <w:r/>
      <w:bookmarkStart w:id="39" w:name="_Toc20823275"/>
      <w:r/>
      <w:bookmarkStart w:id="40" w:name="_Toc16938519"/>
      <w:r>
        <w:rPr>
          <w:rFonts w:hint="eastAsia" w:ascii="宋体" w:hAnsi="宋体" w:eastAsia="宋体" w:cs="宋体"/>
          <w:b/>
          <w:color w:val="auto"/>
          <w:sz w:val="24"/>
          <w:szCs w:val="24"/>
          <w:highlight w:val="none"/>
        </w:rPr>
        <w:t xml:space="preserve">一、总则</w:t>
      </w:r>
      <w:bookmarkEnd w:id="37"/>
      <w:r/>
      <w:bookmarkEnd w:id="38"/>
      <w:r/>
      <w:bookmarkEnd w:id="39"/>
      <w:r/>
      <w:bookmarkEnd w:id="40"/>
      <w:r/>
      <w:r/>
    </w:p>
    <w:p>
      <w:pPr>
        <w:pStyle w:val="738"/>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41" w:name="_Toc20823276"/>
      <w:r/>
      <w:bookmarkStart w:id="42" w:name="_Toc16938520"/>
      <w:r/>
      <w:bookmarkStart w:id="43" w:name="_Toc458694821"/>
      <w:r/>
      <w:bookmarkStart w:id="44" w:name="_Toc513029204"/>
      <w:r/>
      <w:bookmarkStart w:id="45" w:name="_Hlt16619475"/>
      <w:r>
        <w:rPr>
          <w:rFonts w:hint="eastAsia" w:ascii="宋体" w:hAnsi="宋体" w:eastAsia="宋体" w:cs="宋体"/>
          <w:b/>
          <w:bCs/>
          <w:color w:val="auto"/>
          <w:sz w:val="24"/>
          <w:szCs w:val="24"/>
          <w:highlight w:val="none"/>
        </w:rPr>
        <w:t xml:space="preserve">1</w:t>
      </w:r>
      <w:bookmarkEnd w:id="41"/>
      <w:r>
        <w:rPr>
          <w:rFonts w:hint="eastAsia" w:ascii="宋体" w:hAnsi="宋体" w:eastAsia="宋体" w:cs="宋体"/>
          <w:b/>
          <w:bCs/>
          <w:color w:val="auto"/>
          <w:sz w:val="24"/>
          <w:szCs w:val="24"/>
          <w:highlight w:val="none"/>
        </w:rPr>
        <w:t xml:space="preserve">、招标方式</w:t>
      </w:r>
      <w:bookmarkEnd w:id="42"/>
      <w:r/>
      <w:bookmarkEnd w:id="43"/>
      <w:r/>
      <w:bookmarkEnd w:id="44"/>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pStyle w:val="738"/>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46" w:name="_Toc20823277"/>
      <w:r/>
      <w:bookmarkStart w:id="47" w:name="_Toc16938521"/>
      <w:r/>
      <w:bookmarkStart w:id="48" w:name="_Toc513029205"/>
      <w:r>
        <w:rPr>
          <w:rFonts w:hint="eastAsia" w:ascii="宋体" w:hAnsi="宋体" w:eastAsia="宋体" w:cs="宋体"/>
          <w:b/>
          <w:bCs/>
          <w:color w:val="auto"/>
          <w:sz w:val="24"/>
          <w:szCs w:val="24"/>
          <w:highlight w:val="none"/>
        </w:rPr>
        <w:t xml:space="preserve">2、合格的投标人</w:t>
      </w:r>
      <w:bookmarkEnd w:id="46"/>
      <w:r/>
      <w:bookmarkEnd w:id="47"/>
      <w:r/>
      <w:bookmarkEnd w:id="48"/>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满足招标公告中供应商的资格要求的规定。</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满足本文件实质性要求和条件的规定。</w:t>
      </w:r>
      <w:r/>
    </w:p>
    <w:p>
      <w:pPr>
        <w:pStyle w:val="738"/>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49" w:name="_Toc16938522"/>
      <w:r/>
      <w:bookmarkStart w:id="50" w:name="_Toc513029206"/>
      <w:r/>
      <w:bookmarkStart w:id="51" w:name="_Toc20823278"/>
      <w:r>
        <w:rPr>
          <w:rFonts w:hint="eastAsia" w:ascii="宋体" w:hAnsi="宋体" w:eastAsia="宋体" w:cs="宋体"/>
          <w:b/>
          <w:bCs/>
          <w:color w:val="auto"/>
          <w:sz w:val="24"/>
          <w:szCs w:val="24"/>
          <w:highlight w:val="none"/>
        </w:rPr>
        <w:t xml:space="preserve">3、适用法律</w:t>
      </w:r>
      <w:bookmarkEnd w:id="49"/>
      <w:r/>
      <w:bookmarkEnd w:id="50"/>
      <w:r/>
      <w:bookmarkEnd w:id="51"/>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pStyle w:val="738"/>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52" w:name="_Toc513029207"/>
      <w:r/>
      <w:bookmarkStart w:id="53" w:name="_Toc16938523"/>
      <w:r/>
      <w:bookmarkStart w:id="54" w:name="_Toc20823279"/>
      <w:r/>
      <w:bookmarkStart w:id="55" w:name="_Toc462564067"/>
      <w:r>
        <w:rPr>
          <w:rFonts w:hint="eastAsia" w:ascii="宋体" w:hAnsi="宋体" w:eastAsia="宋体" w:cs="宋体"/>
          <w:b/>
          <w:bCs/>
          <w:color w:val="auto"/>
          <w:sz w:val="24"/>
          <w:szCs w:val="24"/>
          <w:highlight w:val="none"/>
        </w:rPr>
        <w:t xml:space="preserve">4、投标费用</w:t>
      </w:r>
      <w:bookmarkEnd w:id="52"/>
      <w:r/>
      <w:bookmarkEnd w:id="53"/>
      <w:r/>
      <w:bookmarkEnd w:id="54"/>
      <w:r/>
      <w:bookmarkEnd w:id="55"/>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4.1</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投标人应自行承担所有与参加投标有关的费用，无论投标过程中的做法和结果如何，采购人在任何情况下均无义务和责任承担这些费用。</w:t>
      </w:r>
      <w:r/>
    </w:p>
    <w:p>
      <w:pPr>
        <w:pStyle w:val="738"/>
        <w:ind w:left="0" w:firstLine="482"/>
        <w:jc w:val="both"/>
        <w:keepLines/>
        <w:keepNext/>
        <w:pageBreakBefore w:val="0"/>
        <w:spacing w:beforeAutospacing="0" w:afterAutospacing="0"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5、招标文件的约束力</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投标人一旦参加本项目采购活动，即被认为接受了本招标文件的规定和约束。</w:t>
      </w:r>
      <w:r/>
    </w:p>
    <w:p>
      <w:pPr>
        <w:pStyle w:val="738"/>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56" w:name="_Toc513029209"/>
      <w:r/>
      <w:bookmarkStart w:id="57" w:name="_Toc120614215"/>
      <w:r/>
      <w:bookmarkStart w:id="58" w:name="_Toc16938525"/>
      <w:r/>
      <w:bookmarkStart w:id="59" w:name="_Toc20823281"/>
      <w:r>
        <w:rPr>
          <w:rFonts w:hint="eastAsia" w:ascii="宋体" w:hAnsi="宋体" w:eastAsia="宋体" w:cs="宋体"/>
          <w:b/>
          <w:color w:val="auto"/>
          <w:sz w:val="24"/>
          <w:szCs w:val="24"/>
          <w:highlight w:val="none"/>
        </w:rPr>
        <w:t xml:space="preserve">二、招标文件</w:t>
      </w:r>
      <w:bookmarkEnd w:id="56"/>
      <w:r/>
      <w:bookmarkEnd w:id="57"/>
      <w:r/>
      <w:bookmarkEnd w:id="58"/>
      <w:r/>
      <w:bookmarkEnd w:id="59"/>
      <w:r/>
      <w:r/>
    </w:p>
    <w:p>
      <w:pPr>
        <w:pStyle w:val="738"/>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60" w:name="_Toc20823282"/>
      <w:r/>
      <w:bookmarkStart w:id="61" w:name="_Toc16938526"/>
      <w:r/>
      <w:bookmarkStart w:id="62" w:name="_Toc513029210"/>
      <w:r>
        <w:rPr>
          <w:rFonts w:hint="eastAsia" w:ascii="宋体" w:hAnsi="宋体" w:eastAsia="宋体" w:cs="宋体"/>
          <w:b/>
          <w:bCs/>
          <w:color w:val="auto"/>
          <w:sz w:val="24"/>
          <w:szCs w:val="24"/>
          <w:highlight w:val="none"/>
        </w:rPr>
        <w:t xml:space="preserve">6、招标文件构成</w:t>
      </w:r>
      <w:bookmarkEnd w:id="60"/>
      <w:r/>
      <w:bookmarkEnd w:id="61"/>
      <w:r/>
      <w:bookmarkEnd w:id="62"/>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联系解决。</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8"/>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63" w:name="_Toc16938527"/>
      <w:r/>
      <w:bookmarkStart w:id="64" w:name="_Toc20823283"/>
      <w:r/>
      <w:bookmarkStart w:id="65" w:name="_Toc462564070"/>
      <w:r/>
      <w:bookmarkStart w:id="66" w:name="_Toc513029211"/>
      <w:r>
        <w:rPr>
          <w:rFonts w:hint="eastAsia" w:ascii="宋体" w:hAnsi="宋体" w:eastAsia="宋体" w:cs="宋体"/>
          <w:b/>
          <w:bCs/>
          <w:color w:val="auto"/>
          <w:sz w:val="24"/>
          <w:szCs w:val="24"/>
          <w:highlight w:val="none"/>
        </w:rPr>
        <w:t xml:space="preserve">7、招标文件的澄清</w:t>
      </w:r>
      <w:bookmarkEnd w:id="63"/>
      <w:r/>
      <w:bookmarkEnd w:id="64"/>
      <w:r/>
      <w:bookmarkEnd w:id="65"/>
      <w:r/>
      <w:bookmarkEnd w:id="66"/>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p>
    <w:p>
      <w:pPr>
        <w:pStyle w:val="738"/>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67" w:name="_Toc513029212"/>
      <w:r/>
      <w:bookmarkStart w:id="68" w:name="_Toc462564071"/>
      <w:r/>
      <w:bookmarkStart w:id="69" w:name="_Toc20823284"/>
      <w:r/>
      <w:bookmarkStart w:id="70" w:name="_Toc16938528"/>
      <w:r>
        <w:rPr>
          <w:rFonts w:hint="eastAsia" w:ascii="宋体" w:hAnsi="宋体" w:eastAsia="宋体" w:cs="宋体"/>
          <w:b/>
          <w:bCs/>
          <w:color w:val="auto"/>
          <w:sz w:val="24"/>
          <w:szCs w:val="24"/>
          <w:highlight w:val="none"/>
        </w:rPr>
        <w:t xml:space="preserve">8、招标文件的修改</w:t>
      </w:r>
      <w:bookmarkEnd w:id="67"/>
      <w:r/>
      <w:bookmarkEnd w:id="68"/>
      <w:r/>
      <w:bookmarkEnd w:id="69"/>
      <w:r/>
      <w:bookmarkEnd w:id="70"/>
      <w:r/>
      <w:r/>
    </w:p>
    <w:p>
      <w:pPr>
        <w:ind w:firstLine="480"/>
        <w:jc w:val="left"/>
        <w:spacing w:line="360" w:lineRule="auto"/>
        <w:rPr>
          <w:rFonts w:ascii="宋体" w:hAnsi="宋体" w:eastAsia="宋体" w:cs="宋体"/>
          <w:color w:val="auto"/>
          <w:sz w:val="24"/>
          <w:highlight w:val="none"/>
        </w:rPr>
      </w:pPr>
      <w:r/>
      <w:bookmarkStart w:id="71" w:name="_Toc120614216"/>
      <w:r/>
      <w:bookmarkStart w:id="72" w:name="_Toc20823285"/>
      <w:r/>
      <w:bookmarkStart w:id="73" w:name="_Toc513029213"/>
      <w:r/>
      <w:bookmarkStart w:id="74" w:name="_Toc462564072"/>
      <w:r/>
      <w:bookmarkStart w:id="75" w:name="_Toc16938529"/>
      <w:r>
        <w:rPr>
          <w:rFonts w:hint="eastAsia" w:ascii="宋体" w:hAnsi="宋体" w:eastAsia="宋体" w:cs="宋体"/>
          <w:color w:val="auto"/>
          <w:sz w:val="24"/>
          <w:highlight w:val="none"/>
        </w:rPr>
        <w:t xml:space="preserve">8.1在投标截止时间前，</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lang w:val="en-US" w:eastAsia="zh-CN"/>
        </w:rPr>
        <w:t xml:space="preserve">或委托的代理机构</w:t>
      </w:r>
      <w:r>
        <w:rPr>
          <w:rFonts w:hint="eastAsia" w:ascii="宋体" w:hAnsi="宋体" w:eastAsia="宋体" w:cs="宋体"/>
          <w:color w:val="auto"/>
          <w:sz w:val="24"/>
          <w:highlight w:val="none"/>
        </w:rPr>
        <w:t xml:space="preserve">可以对招标文件进行修改。</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8.2</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lang w:val="en-US" w:eastAsia="zh-CN"/>
        </w:rPr>
        <w:t xml:space="preserve">或委托的代理机构</w:t>
      </w:r>
      <w:r>
        <w:rPr>
          <w:rFonts w:hint="eastAsia" w:ascii="宋体" w:hAnsi="宋体" w:eastAsia="宋体" w:cs="宋体"/>
          <w:color w:val="auto"/>
          <w:sz w:val="24"/>
          <w:highlight w:val="none"/>
        </w:rPr>
        <w:t xml:space="preserve">有权按照法定的要求推迟投标截止日期和开标日期。</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8.3招标文件的修改将在“中国政府采购网、江苏政府采购网、盐城市政府采购网”公布，补充文件将作为招标文件的组成部分，并对投标人具有约束力。</w:t>
      </w:r>
      <w:r/>
    </w:p>
    <w:p>
      <w:pPr>
        <w:pStyle w:val="738"/>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三、投标文件的编制</w:t>
      </w:r>
      <w:bookmarkEnd w:id="71"/>
      <w:r/>
      <w:bookmarkEnd w:id="72"/>
      <w:r/>
      <w:bookmarkEnd w:id="73"/>
      <w:r/>
      <w:bookmarkEnd w:id="74"/>
      <w:r/>
      <w:bookmarkEnd w:id="75"/>
      <w:r/>
      <w:r/>
    </w:p>
    <w:p>
      <w:pPr>
        <w:pStyle w:val="738"/>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76" w:name="_Toc16938530"/>
      <w:r/>
      <w:bookmarkStart w:id="77" w:name="_Toc20823286"/>
      <w:r/>
      <w:bookmarkStart w:id="78" w:name="_Toc462564073"/>
      <w:r/>
      <w:bookmarkStart w:id="79" w:name="_Toc513029214"/>
      <w:r>
        <w:rPr>
          <w:rFonts w:hint="eastAsia" w:ascii="宋体" w:hAnsi="宋体" w:eastAsia="宋体" w:cs="宋体"/>
          <w:b/>
          <w:bCs/>
          <w:color w:val="auto"/>
          <w:sz w:val="24"/>
          <w:szCs w:val="24"/>
          <w:highlight w:val="none"/>
        </w:rPr>
        <w:t xml:space="preserve">9、投标文件的语言及度量衡单位</w:t>
      </w:r>
      <w:bookmarkEnd w:id="76"/>
      <w:r/>
      <w:bookmarkEnd w:id="77"/>
      <w:r/>
      <w:bookmarkEnd w:id="78"/>
      <w:r/>
      <w:bookmarkEnd w:id="79"/>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投标人提交的投标文件以及投标人与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除技术性能另有规定外，投标文件所使用的度量衡单位，均须采用国家法定计量单位。</w:t>
      </w:r>
      <w:r/>
    </w:p>
    <w:p>
      <w:pPr>
        <w:pStyle w:val="738"/>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80" w:name="_Toc20823287"/>
      <w:r/>
      <w:bookmarkStart w:id="81" w:name="_Toc462564074"/>
      <w:r/>
      <w:bookmarkStart w:id="82" w:name="_Toc16938531"/>
      <w:r/>
      <w:bookmarkStart w:id="83" w:name="_Toc513029215"/>
      <w:r>
        <w:rPr>
          <w:rFonts w:hint="eastAsia" w:ascii="宋体" w:hAnsi="宋体" w:eastAsia="宋体" w:cs="宋体"/>
          <w:b/>
          <w:bCs/>
          <w:color w:val="auto"/>
          <w:sz w:val="24"/>
          <w:szCs w:val="24"/>
          <w:highlight w:val="none"/>
        </w:rPr>
        <w:t xml:space="preserve">10、投标文件构成</w:t>
      </w:r>
      <w:bookmarkEnd w:id="80"/>
      <w:r/>
      <w:bookmarkEnd w:id="81"/>
      <w:r/>
      <w:bookmarkEnd w:id="82"/>
      <w:r/>
      <w:bookmarkEnd w:id="83"/>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发布的招标文件不一致，请以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发布的招标文件为准。</w:t>
      </w:r>
      <w:r/>
    </w:p>
    <w:p>
      <w:pPr>
        <w:pStyle w:val="738"/>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84" w:name="_Toc14577357"/>
      <w:r/>
      <w:bookmarkStart w:id="85" w:name="_Toc49090508"/>
      <w:r/>
      <w:bookmarkStart w:id="86" w:name="_Toc49090507"/>
      <w:r/>
      <w:bookmarkStart w:id="87" w:name="_Toc14577355"/>
      <w:r/>
      <w:bookmarkStart w:id="88" w:name="_Toc513029219"/>
      <w:r/>
      <w:bookmarkStart w:id="89" w:name="_Toc14577354"/>
      <w:r/>
      <w:bookmarkStart w:id="90" w:name="_Toc49090509"/>
      <w:r/>
      <w:bookmarkStart w:id="91" w:name="_Toc513029216"/>
      <w:r/>
      <w:bookmarkStart w:id="92" w:name="_Hlt26668975"/>
      <w:r/>
      <w:bookmarkStart w:id="93" w:name="_Hlt26954838"/>
      <w:r/>
      <w:bookmarkStart w:id="94" w:name="_Hlt26670360"/>
      <w:r>
        <w:rPr>
          <w:rFonts w:hint="eastAsia" w:ascii="宋体" w:hAnsi="宋体" w:eastAsia="宋体" w:cs="宋体"/>
          <w:b/>
          <w:bCs/>
          <w:color w:val="auto"/>
          <w:sz w:val="24"/>
          <w:szCs w:val="24"/>
          <w:highlight w:val="none"/>
        </w:rPr>
        <w:t xml:space="preserve">11、证明投标人及投标标的符合招标文件规定的文件</w:t>
      </w:r>
      <w:bookmarkEnd w:id="84"/>
      <w:r/>
      <w:bookmarkEnd w:id="85"/>
      <w:r/>
      <w:bookmarkEnd w:id="86"/>
      <w:r/>
      <w:bookmarkEnd w:id="87"/>
      <w:r/>
      <w:bookmarkEnd w:id="88"/>
      <w:r/>
      <w:bookmarkEnd w:id="89"/>
      <w:r/>
      <w:bookmarkEnd w:id="90"/>
      <w:r/>
      <w:bookmarkEnd w:id="91"/>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投标人应按照招标文件要求提交证明文件，证明其及投标标的符合招标文件规定。</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招标文件对证明文件无明确形式要求的，证明文件可以以文字资料、图纸和数据等形式提交。</w:t>
      </w:r>
      <w:r/>
    </w:p>
    <w:p>
      <w:pPr>
        <w:pStyle w:val="738"/>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12、投标分项报价表</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投标人应按照招标文件规定格式填报投标分项报价表。</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投标货币。投标文件中的单价和总价无特殊规定的采用人民币报价，以元为单位标注。招标文件中另有规定的按规定执行。</w:t>
      </w:r>
      <w:r/>
    </w:p>
    <w:p>
      <w:pPr>
        <w:pStyle w:val="738"/>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95" w:name="_Hlt26954848"/>
      <w:r/>
      <w:bookmarkStart w:id="96" w:name="_Hlt26954846"/>
      <w:r/>
      <w:bookmarkStart w:id="97" w:name="_Hlt26670486"/>
      <w:r/>
      <w:bookmarkStart w:id="98" w:name="_Hlt26670482"/>
      <w:r/>
      <w:bookmarkStart w:id="99" w:name="_Hlt26954731"/>
      <w:r>
        <w:rPr>
          <w:rFonts w:hint="eastAsia" w:ascii="宋体" w:hAnsi="宋体" w:eastAsia="宋体" w:cs="宋体"/>
          <w:b/>
          <w:bCs/>
          <w:color w:val="auto"/>
          <w:sz w:val="24"/>
          <w:szCs w:val="24"/>
          <w:highlight w:val="none"/>
        </w:rPr>
        <w:t xml:space="preserve">13、技术要求响应及偏离表、商务要求响应及偏离表</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投标人需对招标文件中的技术要求与商务要求逐项作出响应或偏离，并说明原因。</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投标人可在投标文件中提供认为需要的其他技术文件或说明。</w:t>
      </w:r>
      <w:r/>
    </w:p>
    <w:p>
      <w:pPr>
        <w:pStyle w:val="738"/>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14、服务承诺、培训计划、人员安排及其他</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投标人需根据招标文件要求提供有关售后服务的管理制度，售后服务机构的分布情况，售后服务人员的数量、素质、技术水平及售后服务的反应能力等。</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投标人需根据招标文件要求提供培训计划。</w:t>
      </w:r>
      <w:r/>
    </w:p>
    <w:p>
      <w:pPr>
        <w:pStyle w:val="738"/>
        <w:ind w:left="0" w:firstLine="480"/>
        <w:jc w:val="both"/>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14.3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投标人需根据招标文件要求提供所投标的的主要组成部分、功能设计、实现思路及关键技术等。</w:t>
      </w:r>
      <w:r/>
    </w:p>
    <w:p>
      <w:pPr>
        <w:pStyle w:val="738"/>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100" w:name="_Toc14577359"/>
      <w:r/>
      <w:bookmarkStart w:id="101" w:name="_Toc49090510"/>
      <w:r>
        <w:rPr>
          <w:rFonts w:hint="eastAsia" w:ascii="宋体" w:hAnsi="宋体" w:eastAsia="宋体" w:cs="宋体"/>
          <w:b/>
          <w:bCs/>
          <w:color w:val="auto"/>
          <w:sz w:val="24"/>
          <w:szCs w:val="24"/>
          <w:highlight w:val="none"/>
        </w:rPr>
        <w:t xml:space="preserve">15、投标函和开标一览表</w:t>
      </w:r>
      <w:bookmarkEnd w:id="100"/>
      <w:r/>
      <w:bookmarkEnd w:id="101"/>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投标人应按照招标文件中提供的格式完整、正确填写投标函、开标一览表。</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738"/>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102" w:name="_Toc14577360"/>
      <w:r/>
      <w:bookmarkStart w:id="103" w:name="_Toc49090511"/>
      <w:r>
        <w:rPr>
          <w:rFonts w:hint="eastAsia" w:ascii="宋体" w:hAnsi="宋体" w:eastAsia="宋体" w:cs="宋体"/>
          <w:b/>
          <w:bCs/>
          <w:color w:val="auto"/>
          <w:sz w:val="24"/>
          <w:szCs w:val="24"/>
          <w:highlight w:val="none"/>
        </w:rPr>
        <w:t xml:space="preserve">16、投标有效期</w:t>
      </w:r>
      <w:bookmarkEnd w:id="102"/>
      <w:r/>
      <w:bookmarkEnd w:id="103"/>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16.1投标有效期为开标之日后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738"/>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17、投标有效期的延长</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04" w:name="_Toc20823296"/>
      <w:r/>
      <w:bookmarkStart w:id="105" w:name="_Toc16938540"/>
      <w:r/>
      <w:bookmarkStart w:id="106" w:name="_Toc513029224"/>
      <w:r/>
      <w:bookmarkStart w:id="107" w:name="_Toc120614217"/>
      <w:r/>
      <w:bookmarkStart w:id="108" w:name="_Hlt26954739"/>
      <w:r/>
      <w:bookmarkStart w:id="109" w:name="_Hlt26954852"/>
      <w:r>
        <w:rPr>
          <w:rFonts w:hint="eastAsia" w:ascii="宋体" w:hAnsi="宋体" w:eastAsia="宋体" w:cs="宋体"/>
          <w:color w:val="auto"/>
          <w:sz w:val="24"/>
          <w:szCs w:val="24"/>
          <w:highlight w:val="none"/>
        </w:rPr>
        <w:t xml:space="preserve">17.1 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738"/>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四、投标文件的递交</w:t>
      </w:r>
      <w:bookmarkEnd w:id="104"/>
      <w:r/>
      <w:bookmarkEnd w:id="105"/>
      <w:r/>
      <w:bookmarkEnd w:id="106"/>
      <w:r/>
      <w:bookmarkEnd w:id="107"/>
      <w:r/>
      <w:r/>
    </w:p>
    <w:p>
      <w:pPr>
        <w:pStyle w:val="738"/>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110" w:name="_Toc16938541"/>
      <w:r/>
      <w:bookmarkStart w:id="111" w:name="_Toc513029225"/>
      <w:r/>
      <w:bookmarkStart w:id="112" w:name="_Toc462564084"/>
      <w:r/>
      <w:bookmarkStart w:id="113" w:name="_Toc20823297"/>
      <w:r>
        <w:rPr>
          <w:rFonts w:hint="eastAsia" w:ascii="宋体" w:hAnsi="宋体" w:eastAsia="宋体" w:cs="宋体"/>
          <w:b/>
          <w:bCs/>
          <w:color w:val="auto"/>
          <w:sz w:val="24"/>
          <w:szCs w:val="24"/>
          <w:highlight w:val="none"/>
        </w:rPr>
        <w:t xml:space="preserve">18、电子投标文件</w:t>
      </w:r>
      <w:bookmarkEnd w:id="110"/>
      <w:r/>
      <w:bookmarkEnd w:id="111"/>
      <w:r/>
      <w:bookmarkEnd w:id="112"/>
      <w:r/>
      <w:bookmarkEnd w:id="113"/>
      <w:r>
        <w:rPr>
          <w:rFonts w:hint="eastAsia" w:ascii="宋体" w:hAnsi="宋体" w:eastAsia="宋体" w:cs="宋体"/>
          <w:b/>
          <w:bCs/>
          <w:color w:val="auto"/>
          <w:sz w:val="24"/>
          <w:szCs w:val="24"/>
          <w:highlight w:val="none"/>
        </w:rPr>
        <w:t xml:space="preserve">的递交</w:t>
      </w:r>
      <w:r/>
    </w:p>
    <w:p>
      <w:pPr>
        <w:pStyle w:val="738"/>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18.1投标人应当按照《操作手册》规定，在投标截止时间前制作并上传电子投标文件。</w:t>
      </w:r>
      <w:bookmarkStart w:id="114" w:name="_Toc20823298"/>
      <w:r/>
      <w:bookmarkEnd w:id="114"/>
      <w:r/>
      <w:bookmarkStart w:id="115" w:name="_Toc16938542"/>
      <w:r/>
      <w:bookmarkEnd w:id="115"/>
      <w:r/>
      <w:bookmarkStart w:id="116" w:name="_Toc513029226"/>
      <w:r/>
      <w:r/>
    </w:p>
    <w:p>
      <w:pPr>
        <w:pStyle w:val="738"/>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19、投标截止日期</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19.1 投标人上传电子投标文件的时间不得迟于招标公告中规定的投标截止时间。</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hint="eastAsia" w:ascii="宋体" w:hAnsi="宋体" w:cs="宋体"/>
          <w:color w:val="auto"/>
          <w:sz w:val="24"/>
          <w:highlight w:val="none"/>
        </w:rPr>
      </w:pPr>
      <w:r/>
      <w:bookmarkStart w:id="117" w:name="_Toc20823299"/>
      <w:r/>
      <w:bookmarkStart w:id="118" w:name="_Toc16938543"/>
      <w:r/>
      <w:bookmarkStart w:id="119" w:name="_Toc513029227"/>
      <w:r>
        <w:rPr>
          <w:rFonts w:hint="eastAsia" w:ascii="宋体" w:hAnsi="宋体" w:cs="宋体"/>
          <w:color w:val="auto"/>
          <w:sz w:val="24"/>
          <w:highlight w:val="none"/>
        </w:rPr>
        <w:t xml:space="preserve">19.2 采购人可以按照规定，通过修改招标文件酌情延长投标截止日期，在此情况下，投标人的所有权利和义务以及投标人受制的截止日期均应以延长后新的截止日期为准。</w:t>
      </w:r>
      <w:r/>
    </w:p>
    <w:p>
      <w:pPr>
        <w:pStyle w:val="738"/>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20、投标文件</w:t>
      </w:r>
      <w:bookmarkEnd w:id="117"/>
      <w:r/>
      <w:bookmarkEnd w:id="118"/>
      <w:r/>
      <w:bookmarkEnd w:id="119"/>
      <w:r>
        <w:rPr>
          <w:rFonts w:hint="eastAsia" w:ascii="宋体" w:hAnsi="宋体" w:eastAsia="宋体" w:cs="宋体"/>
          <w:b/>
          <w:bCs/>
          <w:color w:val="auto"/>
          <w:sz w:val="24"/>
          <w:szCs w:val="24"/>
          <w:highlight w:val="none"/>
        </w:rPr>
        <w:t xml:space="preserve">的拒收</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拒绝接收在其规定的投标截止时间后上传的任何投标文件。</w:t>
      </w:r>
      <w:r/>
    </w:p>
    <w:p>
      <w:pPr>
        <w:pStyle w:val="738"/>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120" w:name="_Toc16938544"/>
      <w:r/>
      <w:bookmarkStart w:id="121" w:name="_Toc20823300"/>
      <w:r/>
      <w:bookmarkStart w:id="122" w:name="_Toc513029228"/>
      <w:r>
        <w:rPr>
          <w:rFonts w:hint="eastAsia" w:ascii="宋体" w:hAnsi="宋体" w:eastAsia="宋体" w:cs="宋体"/>
          <w:b/>
          <w:bCs/>
          <w:color w:val="auto"/>
          <w:sz w:val="24"/>
          <w:szCs w:val="24"/>
          <w:highlight w:val="none"/>
        </w:rPr>
        <w:t xml:space="preserve">21、投标文件的撤回和修改</w:t>
      </w:r>
      <w:bookmarkEnd w:id="120"/>
      <w:r/>
      <w:bookmarkEnd w:id="121"/>
      <w:r/>
      <w:bookmarkEnd w:id="122"/>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投标文件的撤回</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电子投标文件的撤回</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 投标人撤回电子投标文件，则认为其不再参与本项目投标活动。</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投标文件的修改</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21.2.1投标人可在投标截止时间前，对其电子投标文件进行修改，具体操作方法见《操作手册》。</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21.2.2 在投标截止时间之后，投标人不得对其电子投标文件作任何修改。</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在投标截止时间至招标文件中规定的投标有效期满之间的这段时间内，投标人不得撤回其投标。</w:t>
      </w:r>
      <w:r/>
    </w:p>
    <w:p>
      <w:pPr>
        <w:pStyle w:val="738"/>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23" w:name="_Toc513029229"/>
      <w:r/>
      <w:bookmarkStart w:id="124" w:name="_Toc16938545"/>
      <w:r/>
      <w:bookmarkStart w:id="125" w:name="_Toc20823301"/>
      <w:r/>
      <w:bookmarkStart w:id="126" w:name="_Toc120614218"/>
      <w:r>
        <w:rPr>
          <w:rFonts w:hint="eastAsia" w:ascii="宋体" w:hAnsi="宋体" w:eastAsia="宋体" w:cs="宋体"/>
          <w:b/>
          <w:color w:val="auto"/>
          <w:sz w:val="24"/>
          <w:szCs w:val="24"/>
          <w:highlight w:val="none"/>
        </w:rPr>
        <w:t xml:space="preserve">五、开标与评标</w:t>
      </w:r>
      <w:bookmarkEnd w:id="123"/>
      <w:r/>
      <w:bookmarkEnd w:id="124"/>
      <w:r/>
      <w:bookmarkEnd w:id="125"/>
      <w:r/>
      <w:bookmarkEnd w:id="126"/>
      <w:r/>
      <w:r/>
    </w:p>
    <w:p>
      <w:pPr>
        <w:pStyle w:val="738"/>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127" w:name="_Toc20823302"/>
      <w:r/>
      <w:bookmarkStart w:id="128" w:name="_Toc16938546"/>
      <w:r/>
      <w:bookmarkStart w:id="129" w:name="_Toc513029230"/>
      <w:r>
        <w:rPr>
          <w:rFonts w:hint="eastAsia" w:ascii="宋体" w:hAnsi="宋体" w:eastAsia="宋体" w:cs="宋体"/>
          <w:b/>
          <w:bCs/>
          <w:color w:val="auto"/>
          <w:sz w:val="24"/>
          <w:szCs w:val="24"/>
          <w:highlight w:val="none"/>
        </w:rPr>
        <w:t xml:space="preserve">22、开标</w:t>
      </w:r>
      <w:bookmarkEnd w:id="127"/>
      <w:r/>
      <w:bookmarkEnd w:id="128"/>
      <w:r/>
      <w:bookmarkEnd w:id="129"/>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22.3投标人在开标过程中涉及到的投标文件解密、开标结果确认等工作，应按照《操作手册》规定执行。</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 苏采云系统中《开标记录表》宣布后5分钟内未提出的，视同认可开标结果。</w:t>
      </w:r>
      <w:r/>
    </w:p>
    <w:p>
      <w:pPr>
        <w:pStyle w:val="738"/>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130" w:name="_Toc20823303"/>
      <w:r/>
      <w:bookmarkStart w:id="131" w:name="_Toc513029231"/>
      <w:r/>
      <w:bookmarkStart w:id="132" w:name="_Toc16938547"/>
      <w:r>
        <w:rPr>
          <w:rFonts w:hint="eastAsia" w:ascii="宋体" w:hAnsi="宋体" w:eastAsia="宋体" w:cs="宋体"/>
          <w:b/>
          <w:bCs/>
          <w:color w:val="auto"/>
          <w:sz w:val="24"/>
          <w:szCs w:val="24"/>
          <w:highlight w:val="none"/>
        </w:rPr>
        <w:t xml:space="preserve">23、评标委员会</w:t>
      </w:r>
      <w:bookmarkEnd w:id="130"/>
      <w:r/>
      <w:bookmarkEnd w:id="131"/>
      <w:r/>
      <w:bookmarkEnd w:id="132"/>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开标后，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将立即组织评标委员会（以下简称评委会）进行评标。</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评委会由采购人代表和有关技术、经济等方面的专家组成，且人员构成符合政府采购有关规定。</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738"/>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24．评标过程的保密与公正</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凡是与审查、澄清、评价和比较投标的有关资料以及授标建议等，采购人、评委、</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lang w:val="en-US" w:eastAsia="zh-CN"/>
        </w:rPr>
        <w:t xml:space="preserve">委托的代理机构</w:t>
      </w:r>
      <w:r>
        <w:rPr>
          <w:rFonts w:hint="eastAsia" w:ascii="宋体" w:hAnsi="宋体" w:eastAsia="宋体" w:cs="宋体"/>
          <w:color w:val="auto"/>
          <w:sz w:val="24"/>
          <w:szCs w:val="24"/>
          <w:highlight w:val="none"/>
        </w:rPr>
        <w:t xml:space="preserve">均不得向投标人或与评标无关的其他人员透露。</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在评标过程中，投标人不得以任何行为影响评标过程，否则其投标文件将被作为无效投标文件。</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p>
    <w:p>
      <w:pPr>
        <w:pStyle w:val="738"/>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133" w:name="_Toc16938548"/>
      <w:r/>
      <w:bookmarkStart w:id="134" w:name="_Toc513029232"/>
      <w:r/>
      <w:bookmarkStart w:id="135" w:name="_Toc20823304"/>
      <w:r>
        <w:rPr>
          <w:rFonts w:hint="eastAsia" w:ascii="宋体" w:hAnsi="宋体" w:eastAsia="宋体" w:cs="宋体"/>
          <w:b/>
          <w:bCs/>
          <w:color w:val="auto"/>
          <w:sz w:val="24"/>
          <w:szCs w:val="24"/>
          <w:highlight w:val="none"/>
        </w:rPr>
        <w:t xml:space="preserve">25．投标文件的澄清</w:t>
      </w:r>
      <w:bookmarkEnd w:id="133"/>
      <w:r/>
      <w:bookmarkEnd w:id="134"/>
      <w:r/>
      <w:bookmarkEnd w:id="135"/>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6" w:name="_Toc16938549"/>
      <w:r/>
      <w:bookmarkStart w:id="137" w:name="_Toc513029233"/>
      <w:r/>
      <w:bookmarkStart w:id="138" w:name="_Toc20823305"/>
      <w:r>
        <w:rPr>
          <w:rFonts w:hint="eastAsia" w:ascii="宋体" w:hAnsi="宋体" w:eastAsia="宋体" w:cs="宋体"/>
          <w:color w:val="auto"/>
          <w:sz w:val="24"/>
          <w:szCs w:val="24"/>
          <w:highlight w:val="none"/>
        </w:rPr>
        <w:t xml:space="preserve">25.1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bookmarkEnd w:id="136"/>
      <w:r/>
      <w:bookmarkEnd w:id="137"/>
      <w:r/>
      <w:bookmarkEnd w:id="138"/>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接到评委会澄清、说明和补正要求的投标人如未按规定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出澄清、说明和补正，其风险由投标人自行承担。</w:t>
      </w:r>
      <w:r/>
    </w:p>
    <w:p>
      <w:pPr>
        <w:pStyle w:val="738"/>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26、对投标文件的初审</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投标文件初审分为资格审查和符合性审查。</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符合性审查：依据招标文件的规定，由评委会从投标文件的有效性、完整性和对招标文件的响应程度进行审查，以确定是否对招标文件的实质性要求作出响应。</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未通过资格审查或符合性审查的投标人，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将在苏采云系统中告知未通过资格审查或符合性审查的原因，评审结束后，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将不再告知未通过资格审查或符合性审查的原因。</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26.3如果投标文件实质上没有响应招标文件的要求，评委会将予以拒绝，投标人不得通过修改或撤销不</w:t>
      </w:r>
      <w:r>
        <w:rPr>
          <w:rFonts w:hint="eastAsia" w:ascii="宋体" w:hAnsi="宋体" w:eastAsia="宋体" w:cs="宋体"/>
          <w:color w:val="auto"/>
          <w:sz w:val="24"/>
          <w:szCs w:val="24"/>
          <w:highlight w:val="none"/>
          <w:lang w:val="en-US" w:eastAsia="zh-CN"/>
        </w:rPr>
        <w:t xml:space="preserve">符</w:t>
      </w:r>
      <w:r>
        <w:rPr>
          <w:rFonts w:hint="eastAsia" w:ascii="宋体" w:hAnsi="宋体" w:eastAsia="宋体" w:cs="宋体"/>
          <w:color w:val="auto"/>
          <w:sz w:val="24"/>
          <w:szCs w:val="24"/>
          <w:highlight w:val="none"/>
        </w:rPr>
        <w:t xml:space="preserve">合要求的偏离或保留而使其投标成为实质性响应的投标。</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26.4评委会将对确定为实质性响应的投标进行进一步审核，看其是否有计算上或累加上的算术错误，修正错误的原则如下：</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9" w:name="_Toc20823306"/>
      <w:r/>
      <w:bookmarkStart w:id="140" w:name="_Toc513029234"/>
      <w:r/>
      <w:bookmarkStart w:id="141" w:name="_Toc16938550"/>
      <w:r>
        <w:rPr>
          <w:rFonts w:hint="eastAsia" w:ascii="宋体" w:hAnsi="宋体" w:eastAsia="宋体" w:cs="宋体"/>
          <w:color w:val="auto"/>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9"/>
      <w:r/>
      <w:bookmarkEnd w:id="140"/>
      <w:r/>
      <w:bookmarkEnd w:id="141"/>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非单一产品采购项目，招标文件中将载明其中的核心产品。多家投标人提供的核心产品品牌相同的，按前两款规定处理。</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及评标委员会联系。</w:t>
      </w:r>
      <w:r/>
    </w:p>
    <w:p>
      <w:pPr>
        <w:pStyle w:val="738"/>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27、无效投标条款和废标条款</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2" w:name="_Toc20823307"/>
      <w:r/>
      <w:bookmarkStart w:id="143" w:name="_Toc513029235"/>
      <w:r/>
      <w:bookmarkStart w:id="144" w:name="_Toc16938551"/>
      <w:r>
        <w:rPr>
          <w:rFonts w:hint="eastAsia" w:ascii="宋体" w:hAnsi="宋体" w:eastAsia="宋体" w:cs="宋体"/>
          <w:color w:val="auto"/>
          <w:sz w:val="24"/>
          <w:szCs w:val="24"/>
          <w:highlight w:val="none"/>
        </w:rPr>
        <w:t xml:space="preserve">27.1无效投标条款</w:t>
      </w:r>
      <w:bookmarkEnd w:id="142"/>
      <w:r/>
      <w:bookmarkEnd w:id="143"/>
      <w:r/>
      <w:bookmarkEnd w:id="144"/>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 投标人在苏采云系统规定的时间内未成功解密电子投标文件的。</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 投标人未按照招标文件要求上传电子投标文件的。</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27.1.3同一投标人提交两个（含两个）以上不同的投标报价的。</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27.1.4投标人不具备招标文件中规定资格要求的。</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27.1.5投标人的报价超过了采购预算或最高限价的。</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27.1.6未通过符合性审查的。</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27.1.9 投标文件含有采购人不能接受的附加条件的。</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.1.10投标人不能证明其报价合理性的，评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（一）评审过程中出现下列情形之一的，评标委员会应当启动异常低价投标审查程序：</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1.投标报价低于采购项目预算50%的，即投标报价&lt;采购项目预算×50%；</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2.投标报价低于采购项目最高限价45%的，即投标报价&lt;采购项目最高限价×45%；</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3.评标委员会认定的供应商报价过低、有可能影响产品质量或者不能诚信履约的其他情形。</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 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 投标文件未按照招标文件要求加盖CA电子公章的。</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27.1.13 投标人IP地址、MAC地址、标书编制工具客户端标识码信息一致（以苏彩云系统显示为准）。</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其他法律、法规及本招标文件规定的属无效投标的情形。</w:t>
      </w:r>
      <w:r/>
    </w:p>
    <w:p>
      <w:pPr>
        <w:pStyle w:val="738"/>
        <w:ind w:lef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27.2废标条款</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27.2.1符合专业条件的供应商或者对招标文件作实质响应的供应商不足三家的。</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27.2.2出现影响采购公正的违法、违规行为的。</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27.2.3因重大变故，采购任务取消的。</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 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投标截止时间结束后参加投标的供应商不足三家的处理：</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27.3.1如出现投标截止时间结束后参加投标的供应商或者在评标期间对招标文件做出实质响应的供应商不足三家情况，按政府采购相关规定执行。</w:t>
      </w:r>
      <w:r/>
    </w:p>
    <w:p>
      <w:pPr>
        <w:pStyle w:val="738"/>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5" w:name="_Toc120614219"/>
      <w:r>
        <w:rPr>
          <w:rFonts w:hint="eastAsia" w:ascii="宋体" w:hAnsi="宋体" w:eastAsia="宋体" w:cs="宋体"/>
          <w:b/>
          <w:color w:val="auto"/>
          <w:sz w:val="24"/>
          <w:szCs w:val="24"/>
          <w:highlight w:val="none"/>
        </w:rPr>
        <w:t xml:space="preserve">六、定标</w:t>
      </w:r>
      <w:bookmarkEnd w:id="145"/>
      <w:r/>
      <w:r/>
    </w:p>
    <w:p>
      <w:pPr>
        <w:pStyle w:val="738"/>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146" w:name="_Toc20823310"/>
      <w:r/>
      <w:bookmarkStart w:id="147" w:name="_Toc513029238"/>
      <w:r/>
      <w:bookmarkStart w:id="148" w:name="_Toc16938554"/>
      <w:r>
        <w:rPr>
          <w:rFonts w:hint="eastAsia" w:ascii="宋体" w:hAnsi="宋体" w:eastAsia="宋体" w:cs="宋体"/>
          <w:b/>
          <w:bCs/>
          <w:color w:val="auto"/>
          <w:sz w:val="24"/>
          <w:szCs w:val="24"/>
          <w:highlight w:val="none"/>
        </w:rPr>
        <w:t xml:space="preserve">28、</w:t>
      </w:r>
      <w:bookmarkEnd w:id="146"/>
      <w:r>
        <w:rPr>
          <w:rFonts w:hint="eastAsia" w:ascii="宋体" w:hAnsi="宋体" w:eastAsia="宋体" w:cs="宋体"/>
          <w:b/>
          <w:bCs/>
          <w:color w:val="auto"/>
          <w:sz w:val="24"/>
          <w:szCs w:val="24"/>
          <w:highlight w:val="none"/>
        </w:rPr>
        <w:t xml:space="preserve">确定</w:t>
      </w:r>
      <w:bookmarkEnd w:id="147"/>
      <w:r/>
      <w:bookmarkEnd w:id="148"/>
      <w:r>
        <w:rPr>
          <w:rFonts w:hint="eastAsia" w:ascii="宋体" w:hAnsi="宋体" w:eastAsia="宋体" w:cs="宋体"/>
          <w:b/>
          <w:bCs/>
          <w:color w:val="auto"/>
          <w:sz w:val="24"/>
          <w:szCs w:val="24"/>
          <w:highlight w:val="none"/>
        </w:rPr>
        <w:t xml:space="preserve">中标单位</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28.1中标候选人的选取原则和数量见招标文件第五章规定。 </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采购人应根据评委会推荐的中标候选人确定中标人。</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发布中标公告，公告期限为1个工作日。</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若有充分证据证明，中标人出现下列情况之一的，一经查实，将被取消中标资格：</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28.4.2向采购人、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行贿或者提供其他不正当利益的。</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28.4.4与采购人或者其他供应商恶意串通的。</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28.4.5采取不正当手段诋毁、排挤其他供应商的。</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9" w:name="_Toc200451960"/>
      <w:r>
        <w:rPr>
          <w:rFonts w:hint="eastAsia" w:ascii="宋体" w:hAnsi="宋体" w:eastAsia="宋体" w:cs="宋体"/>
          <w:color w:val="auto"/>
          <w:sz w:val="24"/>
          <w:szCs w:val="24"/>
          <w:highlight w:val="none"/>
        </w:rPr>
        <w:t xml:space="preserve">28.5.有下列情形之一的，视为投标人串通投标，投标无效：</w:t>
      </w:r>
      <w:bookmarkEnd w:id="149"/>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28.5.1不同投标人的投标文件由同一单位或者个人编制；</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28.5.2不同投标人委托同一单位或者个人办理投标事宜；</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不同投标人的投标文件载明的项目管理成员或者联系人员为同一人；</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p>
    <w:p>
      <w:pPr>
        <w:pStyle w:val="738"/>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29、质疑处理</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提出质疑的供应商应当是参与所质疑项目采购活动的供应商。潜在供应商依法获取其可质疑的采购文件的，可以对采购文件提出质疑。</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或采购人提出质疑。</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上述应知其权益受到损害之日，是指：</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29.2.2对采购过程提出质疑的，为各采购程序环节结束之日；</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29.2.3对中标或者成交结果提出质疑的，为中标或者成交结果公告期限届满之日。</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、采购人将只对供应商第一次质疑作出答复。</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负责答复。</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只接收以纸质原件形式送达的质疑,采购人和</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不接受未填写快递运单的快件。</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质疑受理部门：</w:t>
      </w:r>
      <w:r>
        <w:rPr>
          <w:rFonts w:hint="eastAsia" w:ascii="宋体" w:hAnsi="宋体" w:eastAsia="宋体" w:cs="宋体"/>
          <w:color w:val="auto"/>
          <w:sz w:val="24"/>
          <w:szCs w:val="24"/>
          <w:highlight w:val="none"/>
          <w:lang w:eastAsia="zh-CN"/>
        </w:rPr>
        <w:t xml:space="preserve">东台市实验小学</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联系地址：</w:t>
      </w:r>
      <w:r>
        <w:rPr>
          <w:rFonts w:hint="eastAsia" w:ascii="宋体" w:hAnsi="宋体" w:eastAsia="宋体" w:cs="宋体"/>
          <w:color w:val="auto"/>
          <w:sz w:val="24"/>
          <w:szCs w:val="24"/>
          <w:highlight w:val="none"/>
          <w:lang w:val="en-US" w:eastAsia="zh-CN"/>
        </w:rPr>
        <w:t xml:space="preserve">东台市红兰南路111号</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18796592966</w:t>
      </w:r>
      <w:r>
        <w:rPr>
          <w:rFonts w:hint="eastAsia" w:ascii="宋体" w:hAnsi="宋体" w:eastAsia="宋体" w:cs="宋体"/>
          <w:color w:val="auto"/>
          <w:sz w:val="24"/>
          <w:szCs w:val="24"/>
          <w:highlight w:val="none"/>
        </w:rPr>
        <w:t xml:space="preserve">   </w:t>
      </w:r>
      <w:r/>
    </w:p>
    <w:p>
      <w:pPr>
        <w:pStyle w:val="738"/>
        <w:ind w:lef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29.5 以下情形的质疑不予受理</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未参加投标活动的供应商或在投标活动中自身权益未受到损害的供应商所提出的质疑。</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29.5.5供应商组成联合体参加投标，联合体中任何一方或多方未按要求签字、盖章、加盖公章的质疑。</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738"/>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30、中标通知书</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30.l中标结果确定后，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将向中标人发出中标通知书。</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38"/>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0" w:name="_Toc120614220"/>
      <w:r/>
      <w:bookmarkStart w:id="151" w:name="_Toc16938552"/>
      <w:r/>
      <w:bookmarkStart w:id="152" w:name="_Toc20823308"/>
      <w:r/>
      <w:bookmarkStart w:id="153" w:name="_Toc513029236"/>
      <w:r>
        <w:rPr>
          <w:rFonts w:hint="eastAsia" w:ascii="宋体" w:hAnsi="宋体" w:eastAsia="宋体" w:cs="宋体"/>
          <w:b/>
          <w:color w:val="auto"/>
          <w:sz w:val="24"/>
          <w:szCs w:val="24"/>
          <w:highlight w:val="none"/>
        </w:rPr>
        <w:t xml:space="preserve">七、授予合同</w:t>
      </w:r>
      <w:bookmarkEnd w:id="150"/>
      <w:r/>
      <w:bookmarkEnd w:id="151"/>
      <w:r/>
      <w:bookmarkEnd w:id="152"/>
      <w:r/>
      <w:bookmarkEnd w:id="153"/>
      <w:r/>
      <w:r/>
    </w:p>
    <w:p>
      <w:pPr>
        <w:pStyle w:val="738"/>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154" w:name="_Toc20823309"/>
      <w:r/>
      <w:bookmarkStart w:id="155" w:name="_Toc16938553"/>
      <w:r/>
      <w:bookmarkStart w:id="156" w:name="_Toc513029237"/>
      <w:r>
        <w:rPr>
          <w:rFonts w:hint="eastAsia" w:ascii="宋体" w:hAnsi="宋体" w:eastAsia="宋体" w:cs="宋体"/>
          <w:b/>
          <w:bCs/>
          <w:color w:val="auto"/>
          <w:sz w:val="24"/>
          <w:szCs w:val="24"/>
          <w:highlight w:val="none"/>
        </w:rPr>
        <w:t xml:space="preserve">31. 签订合同</w:t>
      </w:r>
      <w:bookmarkEnd w:id="154"/>
      <w:r/>
      <w:bookmarkEnd w:id="155"/>
      <w:r/>
      <w:bookmarkEnd w:id="156"/>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31.l中标人应当在中标通知书发出之日起三十日内，按照招标文件确定的事项与采购人签订政府采购合同。</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31.2招标文件、中标人的投标文件及招标过程中有关澄清、承诺文件均应作为合同附件。</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31.3 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auto"/>
          <w:sz w:val="24"/>
          <w:szCs w:val="24"/>
          <w:highlight w:val="none"/>
          <w:shd w:val="clear" w:color="auto" w:fill="auto"/>
        </w:rPr>
        <w:t xml:space="preserve">购人损失的，中标人应承担相应赔偿责任。</w:t>
      </w:r>
      <w:r/>
    </w:p>
    <w:p>
      <w:pPr>
        <w:pStyle w:val="738"/>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32、货物（包含与货物相关的服务）的追加</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38"/>
        <w:numPr>
          <w:ilvl w:val="0"/>
          <w:numId w:val="0"/>
        </w:numPr>
        <w:ind w:lef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33.政府采购政策功能落实</w:t>
      </w:r>
      <w:r/>
    </w:p>
    <w:p>
      <w:pPr>
        <w:pStyle w:val="738"/>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关于深入推进政府采购线上合同信用融资工作的通知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left="0" w:firstLine="480"/>
        <w:pageBreakBefore w:val="0"/>
        <w:spacing w:line="360" w:lineRule="auto"/>
        <w:widowControl w:val="off"/>
        <w:tabs>
          <w:tab w:val="left" w:pos="1381"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33.2进口产品</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pageBreakBefore w:val="0"/>
        <w:spacing w:line="360" w:lineRule="auto"/>
        <w:widowControl w:val="off"/>
        <w:tabs>
          <w:tab w:val="left" w:pos="1381"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33.3中小企业、监狱企业及残疾人福利性单位</w:t>
      </w:r>
      <w:r/>
    </w:p>
    <w:p>
      <w:p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.3.1中小企业定义：</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738"/>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ind w:left="0"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33.4政府采购节能产品、环境标志产品</w:t>
      </w:r>
      <w:r/>
    </w:p>
    <w:p>
      <w:p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《环境标志产品政府采购品目清单》中的产品有</w:t>
      </w:r>
      <w:r>
        <w:rPr>
          <w:rFonts w:hint="eastAsia" w:ascii="宋体" w:hAnsi="宋体" w:eastAsia="宋体" w:cs="宋体"/>
          <w:color w:val="auto"/>
          <w:sz w:val="24"/>
          <w:szCs w:val="24"/>
          <w:highlight w:val="none"/>
          <w:u w:val="single"/>
          <w:lang w:val="en-US" w:eastAsia="zh-CN"/>
        </w:rPr>
        <w:t xml:space="preserve">八边形操作台、全钢讲台、学生凳、储物柜、室内地板</w:t>
      </w:r>
      <w:r>
        <w:rPr>
          <w:rFonts w:hint="eastAsia" w:ascii="宋体" w:hAnsi="宋体" w:eastAsia="宋体" w:cs="宋体"/>
          <w:color w:val="auto"/>
          <w:sz w:val="24"/>
          <w:szCs w:val="24"/>
          <w:highlight w:val="none"/>
        </w:rPr>
        <w:t xml:space="preserve">。</w:t>
      </w:r>
      <w:r/>
    </w:p>
    <w:p>
      <w:pPr>
        <w:ind w:left="0"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33.5绿色包装</w:t>
      </w:r>
      <w:r/>
    </w:p>
    <w:p>
      <w:pPr>
        <w:ind w:left="0"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33.6政府采购创新产品</w:t>
      </w:r>
      <w:r/>
    </w:p>
    <w:p>
      <w:pPr>
        <w:ind w:left="0" w:right="0" w:firstLine="480"/>
        <w:jc w:val="both"/>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 xml:space="preserve">。</w:t>
      </w:r>
      <w:r/>
    </w:p>
    <w:p>
      <w:pPr>
        <w:ind w:left="0"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 </w:t>
      </w:r>
      <w:r/>
    </w:p>
    <w:p>
      <w:pPr>
        <w:ind w:left="0"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33.8履约保证金政策</w:t>
      </w:r>
      <w:r/>
    </w:p>
    <w:p>
      <w:pPr>
        <w:pStyle w:val="898"/>
        <w:ind w:left="0" w:firstLine="48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left="0"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left="0"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级及以上的政府采购供应商（需在签订采购合同前提供信用管理部门备案的第三方信用报告，且信用报告通过“信用盐城网”可查实），免收履约保证金。</w:t>
      </w:r>
      <w:r/>
    </w:p>
    <w:p>
      <w:pPr>
        <w:ind w:left="0"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 预付款制度</w:t>
      </w:r>
      <w:r/>
    </w:p>
    <w:p>
      <w:pPr>
        <w:ind w:left="0"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w:t>
      </w:r>
      <w:r>
        <w:rPr>
          <w:rFonts w:hint="eastAsia" w:ascii="宋体" w:hAnsi="宋体" w:eastAsia="宋体" w:cs="宋体"/>
          <w:color w:val="auto"/>
          <w:sz w:val="24"/>
          <w:highlight w:val="none"/>
        </w:rPr>
        <w:t xml:space="preserve">预付款比例为</w:t>
      </w: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pPr>
        <w:pStyle w:val="738"/>
        <w:jc w:val="both"/>
        <w:spacing w:beforeAutospacing="0" w:afterAutospacing="0" w:line="0" w:lineRule="atLeast"/>
        <w:rPr>
          <w:color w:val="auto"/>
          <w:highlight w:val="none"/>
        </w:rPr>
      </w:pPr>
      <w:r>
        <w:rPr>
          <w:color w:val="auto"/>
          <w:highlight w:val="none"/>
        </w:rPr>
        <w:t xml:space="preserve"> </w:t>
      </w:r>
      <w:r/>
    </w:p>
    <w:p>
      <w:pPr>
        <w:jc w:val="center"/>
        <w:spacing w:line="360" w:lineRule="auto"/>
        <w:widowControl/>
        <w:rPr>
          <w:color w:val="auto"/>
          <w:sz w:val="36"/>
          <w:szCs w:val="44"/>
          <w:highlight w:val="none"/>
        </w:rPr>
      </w:pPr>
      <w:r>
        <w:rPr>
          <w:color w:val="auto"/>
          <w:sz w:val="36"/>
          <w:szCs w:val="44"/>
          <w:highlight w:val="none"/>
        </w:rPr>
        <w:t xml:space="preserve"> </w:t>
      </w:r>
      <w:bookmarkStart w:id="157" w:name="_Toc479757211"/>
      <w:r/>
      <w:bookmarkStart w:id="158" w:name="_Toc16938590"/>
      <w:r/>
      <w:bookmarkStart w:id="159" w:name="_Toc462564139"/>
      <w:r/>
      <w:bookmarkStart w:id="160" w:name="_Toc120614244"/>
      <w:r/>
      <w:bookmarkStart w:id="161" w:name="_Toc20823346"/>
      <w:r/>
      <w:bookmarkStart w:id="162" w:name="_Hlt16619350"/>
      <w:r/>
      <w:bookmarkStart w:id="163" w:name="_Hlt16619369"/>
      <w:r/>
      <w:r/>
    </w:p>
    <w:p>
      <w:pPr>
        <w:rPr>
          <w:color w:val="auto"/>
          <w:sz w:val="36"/>
          <w:szCs w:val="44"/>
          <w:highlight w:val="none"/>
        </w:rPr>
      </w:pPr>
      <w:r>
        <w:rPr>
          <w:color w:val="auto"/>
          <w:sz w:val="36"/>
          <w:szCs w:val="44"/>
          <w:highlight w:val="none"/>
        </w:rPr>
        <w:br w:type="page" w:clear="all"/>
      </w:r>
      <w:r/>
    </w:p>
    <w:p>
      <w:pPr>
        <w:jc w:val="center"/>
        <w:spacing w:line="360" w:lineRule="auto"/>
        <w:widowControl/>
        <w:rPr>
          <w:rFonts w:ascii="宋体" w:hAnsi="宋体" w:cs="宋体"/>
          <w:b/>
          <w:color w:val="auto"/>
          <w:sz w:val="48"/>
          <w:szCs w:val="44"/>
          <w:highlight w:val="none"/>
        </w:rPr>
      </w:pPr>
      <w:r>
        <w:rPr>
          <w:rFonts w:hint="eastAsia" w:ascii="宋体" w:hAnsi="宋体" w:cs="宋体"/>
          <w:b/>
          <w:color w:val="auto"/>
          <w:sz w:val="48"/>
          <w:szCs w:val="44"/>
          <w:highlight w:val="none"/>
        </w:rPr>
        <w:t xml:space="preserve">第三</w:t>
      </w:r>
      <w:r>
        <w:rPr>
          <w:rFonts w:hint="eastAsia" w:ascii="宋体" w:hAnsi="宋体" w:cs="宋体"/>
          <w:b/>
          <w:color w:val="auto"/>
          <w:sz w:val="48"/>
          <w:szCs w:val="44"/>
          <w:highlight w:val="none"/>
          <w:lang w:eastAsia="zh-CN"/>
        </w:rPr>
        <w:t xml:space="preserve">章</w:t>
      </w:r>
      <w:r>
        <w:rPr>
          <w:rFonts w:hint="eastAsia" w:ascii="宋体" w:hAnsi="宋体" w:cs="宋体"/>
          <w:b/>
          <w:color w:val="auto"/>
          <w:sz w:val="48"/>
          <w:szCs w:val="44"/>
          <w:highlight w:val="none"/>
        </w:rPr>
        <w:t xml:space="preserve">  合同条款</w:t>
      </w:r>
      <w:r/>
    </w:p>
    <w:p>
      <w:pPr>
        <w:rPr>
          <w:rFonts w:ascii="宋体" w:hAnsi="宋体" w:cs="宋体"/>
          <w:color w:val="auto"/>
          <w:highlight w:val="none"/>
        </w:rPr>
      </w:pPr>
      <w:r/>
      <w:bookmarkStart w:id="164" w:name="EB6d2006462e294de090c16e672cecc3bd"/>
      <w:r/>
      <w:bookmarkEnd w:id="164"/>
      <w:r/>
      <w:r/>
    </w:p>
    <w:p>
      <w:pPr>
        <w:jc w:val="center"/>
        <w:rPr>
          <w:rFonts w:ascii="宋体" w:hAnsi="宋体" w:cs="宋体"/>
          <w:color w:val="auto"/>
          <w:sz w:val="30"/>
          <w:highlight w:val="none"/>
        </w:rPr>
      </w:pPr>
      <w:r/>
      <w:bookmarkStart w:id="165" w:name="_Toc3995"/>
      <w:r/>
      <w:r/>
    </w:p>
    <w:p>
      <w:pPr>
        <w:pStyle w:val="891"/>
        <w:rPr>
          <w:rFonts w:ascii="宋体" w:hAnsi="宋体" w:cs="宋体"/>
          <w:color w:val="auto"/>
          <w:sz w:val="30"/>
          <w:highlight w:val="none"/>
        </w:rPr>
      </w:pPr>
      <w:r>
        <w:rPr>
          <w:rFonts w:ascii="宋体" w:hAnsi="宋体" w:cs="宋体"/>
          <w:color w:val="auto"/>
          <w:sz w:val="30"/>
          <w:highlight w:val="none"/>
        </w:rPr>
      </w:r>
      <w:r/>
    </w:p>
    <w:p>
      <w:pPr>
        <w:pStyle w:val="891"/>
        <w:rPr>
          <w:rFonts w:ascii="宋体" w:hAnsi="宋体" w:cs="宋体"/>
          <w:color w:val="auto"/>
          <w:sz w:val="30"/>
          <w:highlight w:val="none"/>
        </w:rPr>
      </w:pPr>
      <w:r>
        <w:rPr>
          <w:rFonts w:ascii="宋体" w:hAnsi="宋体" w:cs="宋体"/>
          <w:color w:val="auto"/>
          <w:sz w:val="30"/>
          <w:highlight w:val="none"/>
        </w:rPr>
      </w:r>
      <w:r/>
    </w:p>
    <w:p>
      <w:pPr>
        <w:pStyle w:val="891"/>
        <w:rPr>
          <w:rFonts w:ascii="宋体" w:hAnsi="宋体" w:cs="宋体"/>
          <w:color w:val="auto"/>
          <w:sz w:val="30"/>
          <w:highlight w:val="none"/>
        </w:rPr>
      </w:pPr>
      <w:r>
        <w:rPr>
          <w:rFonts w:ascii="宋体" w:hAnsi="宋体" w:cs="宋体"/>
          <w:color w:val="auto"/>
          <w:sz w:val="30"/>
          <w:highlight w:val="none"/>
        </w:rPr>
      </w:r>
      <w:r/>
    </w:p>
    <w:p>
      <w:pPr>
        <w:jc w:val="center"/>
        <w:rPr>
          <w:rFonts w:ascii="宋体" w:hAnsi="宋体" w:cs="宋体"/>
          <w:color w:val="auto"/>
          <w:sz w:val="30"/>
          <w:highlight w:val="none"/>
        </w:rPr>
      </w:pPr>
      <w:r>
        <w:rPr>
          <w:rFonts w:hint="eastAsia" w:ascii="宋体" w:hAnsi="宋体" w:cs="宋体"/>
          <w:color w:val="auto"/>
          <w:sz w:val="30"/>
          <w:highlight w:val="none"/>
        </w:rPr>
        <w:t xml:space="preserve">政府采购货物买卖合同</w:t>
      </w:r>
      <w:r/>
    </w:p>
    <w:p>
      <w:pPr>
        <w:jc w:val="center"/>
        <w:rPr>
          <w:rFonts w:ascii="宋体" w:hAnsi="宋体" w:cs="宋体"/>
          <w:color w:val="auto"/>
          <w:sz w:val="30"/>
          <w:highlight w:val="none"/>
        </w:rPr>
      </w:pPr>
      <w:r>
        <w:rPr>
          <w:rFonts w:ascii="宋体" w:hAnsi="宋体" w:cs="宋体"/>
          <w:color w:val="auto"/>
          <w:sz w:val="30"/>
          <w:highlight w:val="none"/>
        </w:rPr>
      </w:r>
      <w:r/>
    </w:p>
    <w:p>
      <w:pPr>
        <w:rPr>
          <w:rFonts w:ascii="宋体" w:hAnsi="宋体" w:cs="宋体"/>
          <w:color w:val="auto"/>
          <w:sz w:val="30"/>
          <w:highlight w:val="none"/>
        </w:rPr>
      </w:pPr>
      <w:r>
        <w:rPr>
          <w:rFonts w:ascii="宋体" w:hAnsi="宋体" w:cs="宋体"/>
          <w:color w:val="auto"/>
          <w:sz w:val="30"/>
          <w:highlight w:val="none"/>
        </w:rPr>
      </w:r>
      <w:r/>
    </w:p>
    <w:p>
      <w:pPr>
        <w:rPr>
          <w:rFonts w:ascii="宋体" w:hAnsi="宋体" w:cs="宋体"/>
          <w:color w:val="auto"/>
          <w:sz w:val="30"/>
          <w:highlight w:val="none"/>
        </w:rPr>
      </w:pPr>
      <w:r>
        <w:rPr>
          <w:rFonts w:ascii="宋体" w:hAnsi="宋体" w:cs="宋体"/>
          <w:color w:val="auto"/>
          <w:sz w:val="30"/>
          <w:highlight w:val="none"/>
        </w:rPr>
      </w:r>
      <w:r/>
    </w:p>
    <w:p>
      <w:pPr>
        <w:pStyle w:val="891"/>
        <w:rPr>
          <w:rFonts w:ascii="宋体" w:hAnsi="宋体" w:cs="宋体"/>
          <w:color w:val="auto"/>
          <w:sz w:val="30"/>
          <w:highlight w:val="none"/>
        </w:rPr>
      </w:pPr>
      <w:r>
        <w:rPr>
          <w:rFonts w:ascii="宋体" w:hAnsi="宋体" w:cs="宋体"/>
          <w:color w:val="auto"/>
          <w:sz w:val="30"/>
          <w:highlight w:val="none"/>
        </w:rPr>
      </w:r>
      <w:r/>
    </w:p>
    <w:p>
      <w:pPr>
        <w:pStyle w:val="891"/>
        <w:rPr>
          <w:rFonts w:ascii="宋体" w:hAnsi="宋体" w:cs="宋体"/>
          <w:color w:val="auto"/>
          <w:sz w:val="30"/>
          <w:highlight w:val="none"/>
        </w:rPr>
      </w:pPr>
      <w:r>
        <w:rPr>
          <w:rFonts w:ascii="宋体" w:hAnsi="宋体" w:cs="宋体"/>
          <w:color w:val="auto"/>
          <w:sz w:val="30"/>
          <w:highlight w:val="none"/>
        </w:rPr>
      </w:r>
      <w:r/>
    </w:p>
    <w:p>
      <w:pPr>
        <w:pStyle w:val="891"/>
        <w:rPr>
          <w:rFonts w:ascii="宋体" w:hAnsi="宋体" w:cs="宋体"/>
          <w:color w:val="auto"/>
          <w:sz w:val="30"/>
          <w:highlight w:val="none"/>
        </w:rPr>
      </w:pPr>
      <w:r>
        <w:rPr>
          <w:rFonts w:ascii="宋体" w:hAnsi="宋体" w:cs="宋体"/>
          <w:color w:val="auto"/>
          <w:sz w:val="30"/>
          <w:highlight w:val="none"/>
        </w:rPr>
      </w:r>
      <w:r/>
    </w:p>
    <w:p>
      <w:pPr>
        <w:pStyle w:val="891"/>
        <w:rPr>
          <w:rFonts w:ascii="宋体" w:hAnsi="宋体" w:cs="宋体"/>
          <w:color w:val="auto"/>
          <w:sz w:val="30"/>
          <w:highlight w:val="none"/>
        </w:rPr>
      </w:pPr>
      <w:r>
        <w:rPr>
          <w:rFonts w:ascii="宋体" w:hAnsi="宋体" w:cs="宋体"/>
          <w:color w:val="auto"/>
          <w:sz w:val="30"/>
          <w:highlight w:val="none"/>
        </w:rPr>
      </w:r>
      <w:r/>
    </w:p>
    <w:p>
      <w:pPr>
        <w:pStyle w:val="891"/>
        <w:rPr>
          <w:rFonts w:ascii="宋体" w:hAnsi="宋体" w:cs="宋体"/>
          <w:color w:val="auto"/>
          <w:sz w:val="30"/>
          <w:highlight w:val="none"/>
        </w:rPr>
      </w:pPr>
      <w:r>
        <w:rPr>
          <w:rFonts w:ascii="宋体" w:hAnsi="宋体" w:cs="宋体"/>
          <w:color w:val="auto"/>
          <w:sz w:val="30"/>
          <w:highlight w:val="none"/>
        </w:rPr>
      </w:r>
      <w:r/>
    </w:p>
    <w:p>
      <w:pPr>
        <w:pStyle w:val="891"/>
        <w:rPr>
          <w:rFonts w:ascii="宋体" w:hAnsi="宋体" w:cs="宋体"/>
          <w:color w:val="auto"/>
          <w:sz w:val="30"/>
          <w:highlight w:val="none"/>
        </w:rPr>
      </w:pPr>
      <w:r>
        <w:rPr>
          <w:rFonts w:ascii="宋体" w:hAnsi="宋体" w:cs="宋体"/>
          <w:color w:val="auto"/>
          <w:sz w:val="30"/>
          <w:highlight w:val="none"/>
        </w:rPr>
      </w:r>
      <w:r/>
    </w:p>
    <w:p>
      <w:pPr>
        <w:pStyle w:val="891"/>
        <w:rPr>
          <w:rFonts w:ascii="宋体" w:hAnsi="宋体" w:cs="宋体"/>
          <w:color w:val="auto"/>
          <w:sz w:val="30"/>
          <w:highlight w:val="none"/>
        </w:rPr>
      </w:pPr>
      <w:r>
        <w:rPr>
          <w:rFonts w:ascii="宋体" w:hAnsi="宋体" w:cs="宋体"/>
          <w:color w:val="auto"/>
          <w:sz w:val="30"/>
          <w:highlight w:val="none"/>
        </w:rPr>
      </w:r>
      <w:r/>
    </w:p>
    <w:p>
      <w:pPr>
        <w:rPr>
          <w:rFonts w:ascii="宋体" w:hAnsi="宋体" w:cs="宋体"/>
          <w:color w:val="auto"/>
          <w:sz w:val="30"/>
          <w:highlight w:val="none"/>
        </w:rPr>
      </w:pPr>
      <w:r>
        <w:rPr>
          <w:rFonts w:ascii="宋体" w:hAnsi="宋体" w:cs="宋体"/>
          <w:color w:val="auto"/>
          <w:sz w:val="30"/>
          <w:highlight w:val="none"/>
        </w:rPr>
      </w:r>
      <w:r/>
    </w:p>
    <w:p>
      <w:pPr>
        <w:ind w:left="420" w:firstLine="600"/>
        <w:spacing w:line="360" w:lineRule="auto"/>
        <w:rPr>
          <w:rFonts w:hint="eastAsia" w:ascii="宋体" w:hAnsi="宋体" w:cs="宋体" w:eastAsiaTheme="minorEastAsia"/>
          <w:color w:val="auto"/>
          <w:sz w:val="30"/>
          <w:highlight w:val="none"/>
          <w:lang w:eastAsia="zh-CN"/>
        </w:rPr>
      </w:pPr>
      <w:r>
        <w:rPr>
          <w:rFonts w:hint="eastAsia" w:ascii="宋体" w:hAnsi="宋体" w:cs="宋体"/>
          <w:color w:val="auto"/>
          <w:sz w:val="30"/>
          <w:highlight w:val="none"/>
        </w:rPr>
        <w:t xml:space="preserve">项目名称：</w:t>
      </w:r>
      <w:r>
        <w:rPr>
          <w:rFonts w:hint="eastAsia" w:ascii="宋体" w:hAnsi="宋体" w:cs="宋体"/>
          <w:color w:val="auto"/>
          <w:sz w:val="30"/>
          <w:highlight w:val="none"/>
          <w:lang w:eastAsia="zh-CN"/>
        </w:rPr>
        <w:t xml:space="preserve">东台市实验小学未来实验室建设项目（第二次）</w:t>
      </w:r>
      <w:r/>
    </w:p>
    <w:p>
      <w:pPr>
        <w:ind w:left="420" w:firstLine="600"/>
        <w:spacing w:line="360" w:lineRule="auto"/>
        <w:rPr>
          <w:rFonts w:hint="default" w:ascii="宋体" w:hAnsi="宋体" w:cs="宋体" w:eastAsiaTheme="minorEastAsia"/>
          <w:color w:val="auto"/>
          <w:sz w:val="30"/>
          <w:highlight w:val="none"/>
          <w:lang w:val="en-US" w:eastAsia="zh-CN"/>
        </w:rPr>
      </w:pPr>
      <w:r>
        <w:rPr>
          <w:rFonts w:hint="eastAsia" w:ascii="宋体" w:hAnsi="宋体" w:cs="宋体"/>
          <w:color w:val="auto"/>
          <w:sz w:val="30"/>
          <w:highlight w:val="none"/>
        </w:rPr>
        <w:t xml:space="preserve">合同编号：</w:t>
      </w:r>
      <w:r>
        <w:rPr>
          <w:rFonts w:hint="eastAsia" w:ascii="Times New Roman" w:hAnsi="Times New Roman"/>
          <w:b/>
          <w:color w:val="auto"/>
          <w:sz w:val="32"/>
          <w:szCs w:val="32"/>
          <w:highlight w:val="none"/>
          <w:lang w:eastAsia="zh-CN"/>
        </w:rPr>
        <w:t xml:space="preserve">JSZC-320981-CCGC-G2025-0048</w:t>
      </w:r>
      <w:r>
        <w:rPr>
          <w:rFonts w:hint="eastAsia" w:ascii="Times New Roman" w:hAnsi="Times New Roman"/>
          <w:b/>
          <w:color w:val="auto"/>
          <w:sz w:val="32"/>
          <w:szCs w:val="32"/>
          <w:highlight w:val="none"/>
          <w:lang w:val="en-US" w:eastAsia="zh-CN"/>
        </w:rPr>
        <w:t xml:space="preserve">001</w:t>
      </w:r>
      <w:r/>
    </w:p>
    <w:p>
      <w:pPr>
        <w:ind w:left="420" w:firstLine="600"/>
        <w:spacing w:line="360" w:lineRule="auto"/>
        <w:rPr>
          <w:rFonts w:ascii="宋体" w:hAnsi="宋体" w:cs="宋体"/>
          <w:color w:val="auto"/>
          <w:sz w:val="30"/>
          <w:highlight w:val="none"/>
        </w:rPr>
      </w:pPr>
      <w:r>
        <w:rPr>
          <w:rFonts w:hint="eastAsia" w:ascii="宋体" w:hAnsi="宋体" w:cs="宋体"/>
          <w:color w:val="auto"/>
          <w:sz w:val="30"/>
          <w:highlight w:val="none"/>
        </w:rPr>
        <w:t xml:space="preserve">甲    方：</w:t>
      </w:r>
      <w:r>
        <w:rPr>
          <w:rFonts w:hint="eastAsia" w:ascii="宋体" w:hAnsi="宋体" w:cs="宋体"/>
          <w:color w:val="auto"/>
          <w:sz w:val="30"/>
          <w:highlight w:val="none"/>
          <w:lang w:val="en-US" w:eastAsia="zh-CN"/>
        </w:rPr>
        <w:t xml:space="preserve">东台市实验小学</w:t>
      </w:r>
      <w:r/>
    </w:p>
    <w:p>
      <w:pPr>
        <w:ind w:left="420" w:firstLine="600"/>
        <w:spacing w:line="360" w:lineRule="auto"/>
        <w:rPr>
          <w:rFonts w:ascii="宋体" w:hAnsi="宋体" w:cs="宋体"/>
          <w:color w:val="auto"/>
          <w:sz w:val="30"/>
          <w:highlight w:val="none"/>
        </w:rPr>
      </w:pPr>
      <w:r>
        <w:rPr>
          <w:rFonts w:hint="eastAsia" w:ascii="宋体" w:hAnsi="宋体" w:cs="宋体"/>
          <w:color w:val="auto"/>
          <w:sz w:val="30"/>
          <w:highlight w:val="none"/>
        </w:rPr>
        <w:t xml:space="preserve">乙    方：</w:t>
      </w:r>
      <w:r/>
    </w:p>
    <w:p>
      <w:pPr>
        <w:ind w:left="420" w:firstLine="600"/>
        <w:spacing w:line="360" w:lineRule="auto"/>
        <w:rPr>
          <w:rFonts w:ascii="宋体" w:hAnsi="宋体" w:cs="宋体"/>
          <w:color w:val="auto"/>
          <w:sz w:val="30"/>
          <w:highlight w:val="none"/>
        </w:rPr>
      </w:pPr>
      <w:r>
        <w:rPr>
          <w:rFonts w:hint="eastAsia" w:ascii="宋体" w:hAnsi="宋体" w:cs="宋体"/>
          <w:color w:val="auto"/>
          <w:sz w:val="30"/>
          <w:highlight w:val="none"/>
        </w:rPr>
        <w:t xml:space="preserve">签订时间：</w:t>
      </w:r>
      <w:r/>
    </w:p>
    <w:p>
      <w:pPr>
        <w:rPr>
          <w:color w:val="auto"/>
          <w:highlight w:val="none"/>
        </w:rPr>
      </w:pPr>
      <w:r>
        <w:rPr>
          <w:color w:val="auto"/>
          <w:highlight w:val="none"/>
        </w:rPr>
      </w:r>
      <w:r/>
    </w:p>
    <w:p>
      <w:pPr>
        <w:rPr>
          <w:rFonts w:eastAsia="黑体"/>
          <w:color w:val="auto"/>
          <w:sz w:val="44"/>
          <w:szCs w:val="44"/>
          <w:highlight w:val="none"/>
        </w:rPr>
      </w:pPr>
      <w:r>
        <w:rPr>
          <w:rFonts w:eastAsia="黑体"/>
          <w:color w:val="auto"/>
          <w:sz w:val="44"/>
          <w:szCs w:val="44"/>
          <w:highlight w:val="none"/>
        </w:rPr>
        <w:br w:type="page" w:clear="all"/>
      </w:r>
      <w:r/>
    </w:p>
    <w:p>
      <w:pPr>
        <w:jc w:val="center"/>
        <w:rPr>
          <w:rFonts w:eastAsia="黑体"/>
          <w:color w:val="auto"/>
          <w:sz w:val="44"/>
          <w:szCs w:val="44"/>
          <w:highlight w:val="none"/>
        </w:rPr>
      </w:pPr>
      <w:r>
        <w:rPr>
          <w:rFonts w:hint="eastAsia" w:eastAsia="黑体"/>
          <w:color w:val="auto"/>
          <w:sz w:val="44"/>
          <w:szCs w:val="44"/>
          <w:highlight w:val="none"/>
        </w:rPr>
        <w:t xml:space="preserve">使用说明</w:t>
      </w:r>
      <w:r/>
    </w:p>
    <w:p>
      <w:pPr>
        <w:ind w:firstLine="640"/>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ind w:firstLine="640"/>
        <w:rPr>
          <w:rFonts w:eastAsia="黑体"/>
          <w:color w:val="auto"/>
          <w:sz w:val="44"/>
          <w:szCs w:val="44"/>
          <w:highlight w:val="none"/>
        </w:rPr>
      </w:pP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bookmarkEnd w:id="165"/>
      <w:r/>
      <w:r/>
    </w:p>
    <w:p>
      <w:pPr>
        <w:ind w:firstLine="880"/>
        <w:rPr>
          <w:rFonts w:eastAsia="黑体"/>
          <w:color w:val="auto"/>
          <w:sz w:val="44"/>
          <w:szCs w:val="44"/>
          <w:highlight w:val="none"/>
        </w:rPr>
        <w:sectPr>
          <w:footerReference w:type="default" r:id="rId9"/>
          <w:footnotePr/>
          <w:endnotePr/>
          <w:type w:val="nextPage"/>
          <w:pgSz w:w="11906" w:h="16838" w:orient="portrait"/>
          <w:pgMar w:top="1440" w:right="1080" w:bottom="1440" w:left="1080" w:header="851" w:footer="992" w:gutter="0"/>
          <w:cols w:num="1" w:sep="0" w:space="425" w:equalWidth="1"/>
          <w:docGrid w:linePitch="360"/>
        </w:sectPr>
      </w:pPr>
      <w:r>
        <w:rPr>
          <w:rFonts w:eastAsia="黑体"/>
          <w:color w:val="auto"/>
          <w:sz w:val="44"/>
          <w:szCs w:val="44"/>
          <w:highlight w:val="none"/>
        </w:rPr>
      </w:r>
      <w:r/>
    </w:p>
    <w:p>
      <w:pPr>
        <w:jc w:val="center"/>
        <w:keepLines/>
        <w:keepNext/>
        <w:spacing w:line="400" w:lineRule="exact"/>
        <w:rPr>
          <w:rFonts w:ascii="黑体" w:hAnsi="黑体" w:eastAsia="黑体"/>
          <w:b/>
          <w:bCs/>
          <w:color w:val="auto"/>
          <w:sz w:val="28"/>
          <w:szCs w:val="28"/>
          <w:highlight w:val="none"/>
        </w:rPr>
        <w:outlineLvl w:val="1"/>
      </w:pPr>
      <w:r/>
      <w:bookmarkStart w:id="166" w:name="_Toc22209"/>
      <w:r/>
      <w:r/>
    </w:p>
    <w:p>
      <w:pPr>
        <w:jc w:val="center"/>
        <w:keepLines/>
        <w:keepNext/>
        <w:spacing w:line="400" w:lineRule="exact"/>
        <w:rPr>
          <w:rFonts w:ascii="黑体" w:hAnsi="华文中宋" w:eastAsia="黑体"/>
          <w:color w:val="auto"/>
          <w:sz w:val="28"/>
          <w:szCs w:val="28"/>
          <w:highlight w:val="none"/>
        </w:rPr>
        <w:outlineLvl w:val="1"/>
      </w:pPr>
      <w:r>
        <w:rPr>
          <w:rFonts w:hint="eastAsia" w:ascii="黑体" w:hAnsi="黑体" w:eastAsia="黑体"/>
          <w:color w:val="auto"/>
          <w:sz w:val="28"/>
          <w:szCs w:val="28"/>
          <w:highlight w:val="none"/>
        </w:rPr>
        <w:t xml:space="preserve">第一节 </w:t>
      </w:r>
      <w:r>
        <w:rPr>
          <w:rFonts w:hint="eastAsia" w:ascii="黑体" w:hAnsi="华文中宋" w:eastAsia="黑体"/>
          <w:color w:val="auto"/>
          <w:sz w:val="28"/>
          <w:szCs w:val="28"/>
          <w:highlight w:val="none"/>
        </w:rPr>
        <w:t xml:space="preserve">政府采购合同协议书</w:t>
      </w:r>
      <w:bookmarkEnd w:id="166"/>
      <w:r/>
      <w:r/>
    </w:p>
    <w:p>
      <w:pPr>
        <w:jc w:val="center"/>
        <w:keepLines/>
        <w:keepNext/>
        <w:spacing w:line="360" w:lineRule="auto"/>
        <w:rPr>
          <w:rFonts w:ascii="黑体" w:hAnsi="华文中宋" w:eastAsia="黑体"/>
          <w:color w:val="auto"/>
          <w:sz w:val="28"/>
          <w:szCs w:val="28"/>
          <w:highlight w:val="none"/>
        </w:rPr>
        <w:outlineLvl w:val="1"/>
      </w:pPr>
      <w:r>
        <w:rPr>
          <w:rFonts w:ascii="黑体" w:hAnsi="华文中宋" w:eastAsia="黑体"/>
          <w:color w:val="auto"/>
          <w:sz w:val="28"/>
          <w:szCs w:val="28"/>
          <w:highlight w:val="none"/>
        </w:rPr>
      </w:r>
      <w:r/>
    </w:p>
    <w:p>
      <w:pPr>
        <w:spacing w:line="360" w:lineRule="auto"/>
        <w:rPr>
          <w:rFonts w:hint="eastAsia" w:ascii="宋体" w:hAnsi="宋体" w:eastAsiaTheme="minorEastAsia"/>
          <w:color w:val="auto"/>
          <w:sz w:val="24"/>
          <w:highlight w:val="none"/>
          <w:lang w:val="en-US" w:eastAsia="zh-CN"/>
        </w:rPr>
      </w:pPr>
      <w:r>
        <w:rPr>
          <w:rFonts w:hint="eastAsia" w:ascii="宋体" w:hAnsi="宋体"/>
          <w:color w:val="auto"/>
          <w:sz w:val="24"/>
          <w:highlight w:val="none"/>
        </w:rPr>
        <w:t xml:space="preserve">甲方（全称）：</w:t>
      </w:r>
      <w:r>
        <w:rPr>
          <w:rFonts w:hint="eastAsia" w:ascii="宋体" w:hAnsi="宋体"/>
          <w:color w:val="auto"/>
          <w:sz w:val="24"/>
          <w:highlight w:val="none"/>
          <w:lang w:val="en-US" w:eastAsia="zh-CN"/>
        </w:rPr>
        <w:t xml:space="preserve">东台市实验小学</w:t>
      </w:r>
      <w:r/>
    </w:p>
    <w:p>
      <w:pPr>
        <w:spacing w:line="360" w:lineRule="auto"/>
        <w:rPr>
          <w:rFonts w:ascii="宋体" w:hAnsi="宋体"/>
          <w:color w:val="auto"/>
          <w:sz w:val="24"/>
          <w:highlight w:val="none"/>
        </w:rPr>
      </w:pPr>
      <w:r>
        <w:rPr>
          <w:rFonts w:hint="eastAsia" w:ascii="宋体" w:hAnsi="宋体"/>
          <w:color w:val="auto"/>
          <w:sz w:val="24"/>
          <w:highlight w:val="none"/>
        </w:rPr>
        <w:t xml:space="preserve">乙方（全称）：</w:t>
      </w:r>
      <w:r>
        <w:rPr>
          <w:rFonts w:ascii="宋体" w:hAnsi="宋体"/>
          <w:color w:val="auto"/>
          <w:sz w:val="24"/>
          <w:highlight w:val="none"/>
        </w:rPr>
        <w:t xml:space="preserve">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依据《中华人民共和国民法典</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中华人民共和国政府采购法》等有关的法律法规，以及本采购项目的招标等采购文件、乙方的《投标（响应）文件》及《中标（成交）通知书》，甲乙双方同意签订本合同。具体情况及要求如下：     </w:t>
      </w:r>
      <w:r/>
    </w:p>
    <w:p>
      <w:pPr>
        <w:numPr>
          <w:ilvl w:val="0"/>
          <w:numId w:val="1"/>
        </w:num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项目信息</w:t>
      </w:r>
      <w:r/>
    </w:p>
    <w:p>
      <w:pPr>
        <w:ind w:left="0" w:firstLine="480"/>
        <w:keepLines w:val="0"/>
        <w:keepNext w:val="0"/>
        <w:pageBreakBefore w:val="0"/>
        <w:spacing w:line="360" w:lineRule="auto"/>
        <w:rPr>
          <w:rFonts w:hint="eastAsia" w:ascii="宋体" w:hAnsi="宋体" w:eastAsiaTheme="minorEastAsia"/>
          <w:color w:val="auto"/>
          <w:sz w:val="24"/>
          <w:highlight w:val="none"/>
          <w:lang w:eastAsia="zh-CN"/>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1</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采购项目名称：</w:t>
      </w:r>
      <w:r>
        <w:rPr>
          <w:rFonts w:hint="eastAsia" w:ascii="宋体" w:hAnsi="宋体"/>
          <w:color w:val="auto"/>
          <w:sz w:val="24"/>
          <w:highlight w:val="none"/>
          <w:lang w:eastAsia="zh-CN"/>
        </w:rPr>
        <w:t xml:space="preserve">东台市实验小学未来实验室建设项目（第二次）</w:t>
      </w:r>
      <w:r/>
    </w:p>
    <w:p>
      <w:pPr>
        <w:ind w:left="0" w:firstLine="960"/>
        <w:keepLines w:val="0"/>
        <w:keepNext w:val="0"/>
        <w:pageBreakBefore w:val="0"/>
        <w:spacing w:line="360" w:lineRule="auto"/>
        <w:rPr>
          <w:rFonts w:hint="eastAsia" w:ascii="宋体" w:hAnsi="宋体" w:eastAsiaTheme="minorEastAsia"/>
          <w:color w:val="auto"/>
          <w:sz w:val="24"/>
          <w:highlight w:val="none"/>
          <w:lang w:eastAsia="zh-CN"/>
        </w:rPr>
      </w:pPr>
      <w:r>
        <w:rPr>
          <w:rFonts w:hint="eastAsia" w:ascii="宋体" w:hAnsi="宋体"/>
          <w:color w:val="auto"/>
          <w:sz w:val="24"/>
          <w:highlight w:val="none"/>
        </w:rPr>
        <w:t xml:space="preserve">采购项目编号：</w:t>
      </w:r>
      <w:r>
        <w:rPr>
          <w:rFonts w:hint="eastAsia" w:ascii="宋体" w:hAnsi="宋体"/>
          <w:color w:val="auto"/>
          <w:sz w:val="24"/>
          <w:highlight w:val="none"/>
          <w:lang w:eastAsia="zh-CN"/>
        </w:rPr>
        <w:t xml:space="preserve">JSZC-320981-CCGC-G2025-0048</w:t>
      </w:r>
      <w:r/>
    </w:p>
    <w:p>
      <w:pPr>
        <w:ind w:left="0" w:firstLine="480"/>
        <w:keepLines w:val="0"/>
        <w:keepNext w:val="0"/>
        <w:pageBreakBefore w:val="0"/>
        <w:spacing w:line="360" w:lineRule="auto"/>
        <w:rPr>
          <w:rFonts w:hint="eastAsia" w:ascii="宋体" w:hAnsi="宋体" w:eastAsiaTheme="minorEastAsia"/>
          <w:color w:val="auto"/>
          <w:sz w:val="24"/>
          <w:highlight w:val="none"/>
          <w:lang w:val="en-US" w:eastAsia="zh-CN"/>
        </w:rPr>
      </w:pPr>
      <w:r>
        <w:rPr>
          <w:rFonts w:hint="eastAsia" w:ascii="宋体" w:hAnsi="宋体"/>
          <w:color w:val="auto"/>
          <w:sz w:val="24"/>
          <w:highlight w:val="none"/>
        </w:rPr>
        <w:t xml:space="preserve">（2）采购计划编号：</w:t>
      </w:r>
      <w:r>
        <w:rPr>
          <w:rFonts w:hint="eastAsia" w:ascii="宋体" w:hAnsi="宋体"/>
          <w:color w:val="auto"/>
          <w:sz w:val="24"/>
          <w:highlight w:val="none"/>
          <w:lang w:val="en-US" w:eastAsia="zh-CN"/>
        </w:rPr>
        <w:t xml:space="preserve">/</w:t>
      </w:r>
      <w:r/>
    </w:p>
    <w:p>
      <w:pPr>
        <w:ind w:lef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（3）项目内容：</w:t>
      </w:r>
      <w:r/>
    </w:p>
    <w:p>
      <w:pPr>
        <w:ind w:lef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采购标的及数量：</w:t>
      </w:r>
      <w:r/>
    </w:p>
    <w:tbl>
      <w:tblPr>
        <w:tblStyle w:val="901"/>
        <w:tblW w:w="443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3"/>
        <w:gridCol w:w="2034"/>
        <w:gridCol w:w="3009"/>
        <w:gridCol w:w="1524"/>
        <w:gridCol w:w="1224"/>
      </w:tblGrid>
      <w:tr>
        <w:trPr>
          <w:jc w:val="center"/>
          <w:trHeight w:val="476"/>
        </w:trPr>
        <w:tc>
          <w:tcPr>
            <w:tcW w:w="1054" w:type="dxa"/>
            <w:vAlign w:val="center"/>
            <w:textDirection w:val="lrTb"/>
            <w:noWrap w:val="false"/>
          </w:tcPr>
          <w:p>
            <w:pPr>
              <w:jc w:val="center"/>
              <w:rPr>
                <w:color w:val="auto"/>
                <w:highlight w:val="none"/>
              </w:rPr>
            </w:pPr>
            <w:r>
              <w:rPr>
                <w:rFonts w:hint="eastAsia"/>
                <w:color w:val="auto"/>
                <w:highlight w:val="none"/>
              </w:rPr>
              <w:t xml:space="preserve">序号</w:t>
            </w:r>
            <w:r/>
          </w:p>
        </w:tc>
        <w:tc>
          <w:tcPr>
            <w:tcW w:w="2034" w:type="dxa"/>
            <w:vAlign w:val="center"/>
            <w:textDirection w:val="lrTb"/>
            <w:noWrap w:val="false"/>
          </w:tcPr>
          <w:p>
            <w:pPr>
              <w:jc w:val="center"/>
              <w:rPr>
                <w:color w:val="auto"/>
                <w:highlight w:val="none"/>
              </w:rPr>
            </w:pPr>
            <w:r>
              <w:rPr>
                <w:rFonts w:hint="eastAsia"/>
                <w:color w:val="auto"/>
                <w:highlight w:val="none"/>
              </w:rPr>
              <w:t xml:space="preserve">名称</w:t>
            </w:r>
            <w:r/>
          </w:p>
        </w:tc>
        <w:tc>
          <w:tcPr>
            <w:tcW w:w="3009" w:type="dxa"/>
            <w:vAlign w:val="center"/>
            <w:textDirection w:val="lrTb"/>
            <w:noWrap w:val="false"/>
          </w:tcPr>
          <w:p>
            <w:pPr>
              <w:jc w:val="center"/>
              <w:rPr>
                <w:rFonts w:hint="default" w:eastAsiaTheme="minorEastAsia"/>
                <w:color w:val="auto"/>
                <w:highlight w:val="none"/>
                <w:lang w:val="en-US" w:eastAsia="zh-CN"/>
              </w:rPr>
            </w:pPr>
            <w:r>
              <w:rPr>
                <w:rFonts w:hint="eastAsia"/>
                <w:color w:val="auto"/>
                <w:highlight w:val="none"/>
                <w:lang w:val="en-US" w:eastAsia="zh-CN"/>
              </w:rPr>
              <w:t xml:space="preserve">品牌、型号（版本号）</w:t>
            </w:r>
            <w:r/>
          </w:p>
        </w:tc>
        <w:tc>
          <w:tcPr>
            <w:tcW w:w="1524" w:type="dxa"/>
            <w:vAlign w:val="center"/>
            <w:textDirection w:val="lrTb"/>
            <w:noWrap w:val="false"/>
          </w:tcPr>
          <w:p>
            <w:pPr>
              <w:jc w:val="center"/>
              <w:rPr>
                <w:color w:val="auto"/>
                <w:highlight w:val="none"/>
              </w:rPr>
            </w:pPr>
            <w:r>
              <w:rPr>
                <w:rFonts w:hint="eastAsia"/>
                <w:color w:val="auto"/>
                <w:highlight w:val="none"/>
              </w:rPr>
              <w:t xml:space="preserve">单位</w:t>
            </w:r>
            <w:r/>
          </w:p>
        </w:tc>
        <w:tc>
          <w:tcPr>
            <w:tcW w:w="1224" w:type="dxa"/>
            <w:vAlign w:val="center"/>
            <w:textDirection w:val="lrTb"/>
            <w:noWrap w:val="false"/>
          </w:tcPr>
          <w:p>
            <w:pPr>
              <w:jc w:val="center"/>
              <w:rPr>
                <w:color w:val="auto"/>
                <w:highlight w:val="none"/>
              </w:rPr>
            </w:pPr>
            <w:r>
              <w:rPr>
                <w:rFonts w:hint="eastAsia"/>
                <w:color w:val="auto"/>
                <w:highlight w:val="none"/>
              </w:rPr>
              <w:t xml:space="preserve">数量</w:t>
            </w:r>
            <w:r/>
          </w:p>
        </w:tc>
      </w:tr>
      <w:tr>
        <w:trPr>
          <w:jc w:val="center"/>
          <w:trHeight w:val="292"/>
        </w:trPr>
        <w:tc>
          <w:tcPr>
            <w:tcW w:w="1054" w:type="dxa"/>
            <w:vAlign w:val="center"/>
            <w:textDirection w:val="lrTb"/>
            <w:noWrap w:val="false"/>
          </w:tcPr>
          <w:p>
            <w:pPr>
              <w:jc w:val="center"/>
              <w:keepLines w:val="0"/>
              <w:keepNext w:val="0"/>
              <w:widowControl/>
              <w:rPr>
                <w:color w:val="auto"/>
                <w:highlight w:val="none"/>
              </w:rPr>
              <w:suppressLineNumbers w:val="0"/>
            </w:pPr>
            <w:r>
              <w:rPr>
                <w:rFonts w:hint="eastAsia" w:ascii="仿宋" w:hAnsi="仿宋" w:eastAsia="仿宋" w:cs="仿宋"/>
                <w:i w:val="0"/>
                <w:iCs w:val="0"/>
                <w:color w:val="auto"/>
                <w:sz w:val="21"/>
                <w:szCs w:val="21"/>
                <w:highlight w:val="none"/>
                <w:u w:val="none"/>
                <w:lang w:val="en-US" w:eastAsia="zh-CN"/>
              </w:rPr>
              <w:t xml:space="preserve">1</w:t>
            </w:r>
            <w:r/>
          </w:p>
        </w:tc>
        <w:tc>
          <w:tcPr>
            <w:tcW w:w="2034" w:type="dxa"/>
            <w:vAlign w:val="center"/>
            <w:textDirection w:val="lrTb"/>
            <w:noWrap w:val="false"/>
          </w:tcPr>
          <w:p>
            <w:pPr>
              <w:jc w:val="center"/>
              <w:keepLines w:val="0"/>
              <w:keepNext w:val="0"/>
              <w:widowControl/>
              <w:rPr>
                <w:rFonts w:hint="eastAsia"/>
                <w:color w:val="auto"/>
                <w:highlight w:val="none"/>
                <w:lang w:eastAsia="zh-CN"/>
              </w:rPr>
              <w:suppressLineNumbers w:val="0"/>
            </w:pPr>
            <w:r>
              <w:rPr>
                <w:rFonts w:hint="eastAsia"/>
                <w:color w:val="auto"/>
                <w:highlight w:val="none"/>
                <w:lang w:eastAsia="zh-CN"/>
              </w:rPr>
            </w:r>
            <w:r/>
          </w:p>
        </w:tc>
        <w:tc>
          <w:tcPr>
            <w:tcW w:w="3009" w:type="dxa"/>
            <w:vAlign w:val="center"/>
            <w:textDirection w:val="lrTb"/>
            <w:noWrap w:val="false"/>
          </w:tcPr>
          <w:p>
            <w:pPr>
              <w:jc w:val="center"/>
              <w:rPr>
                <w:rFonts w:hint="eastAsia"/>
                <w:color w:val="auto"/>
                <w:highlight w:val="none"/>
              </w:rPr>
            </w:pPr>
            <w:r>
              <w:rPr>
                <w:rFonts w:hint="eastAsia"/>
                <w:color w:val="auto"/>
                <w:highlight w:val="none"/>
              </w:rPr>
            </w:r>
            <w:r/>
          </w:p>
        </w:tc>
        <w:tc>
          <w:tcPr>
            <w:tcW w:w="15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p>
        </w:tc>
        <w:tc>
          <w:tcPr>
            <w:tcW w:w="12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p>
        </w:tc>
      </w:tr>
      <w:tr>
        <w:trPr>
          <w:jc w:val="center"/>
          <w:trHeight w:val="292"/>
        </w:trPr>
        <w:tc>
          <w:tcPr>
            <w:tcW w:w="1054" w:type="dxa"/>
            <w:vAlign w:val="center"/>
            <w:textDirection w:val="lrTb"/>
            <w:noWrap w:val="false"/>
          </w:tcPr>
          <w:p>
            <w:pPr>
              <w:jc w:val="center"/>
              <w:keepLines w:val="0"/>
              <w:keepNext w:val="0"/>
              <w:widowControl/>
              <w:rPr>
                <w:rFonts w:hint="eastAsia"/>
                <w:color w:val="auto"/>
                <w:highlight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t xml:space="preserve">2</w:t>
            </w:r>
            <w:r/>
          </w:p>
        </w:tc>
        <w:tc>
          <w:tcPr>
            <w:tcW w:w="2034" w:type="dxa"/>
            <w:vAlign w:val="center"/>
            <w:textDirection w:val="lrTb"/>
            <w:noWrap w:val="false"/>
          </w:tcPr>
          <w:p>
            <w:pPr>
              <w:jc w:val="center"/>
              <w:keepLines w:val="0"/>
              <w:keepNext w:val="0"/>
              <w:widowControl/>
              <w:rPr>
                <w:rFonts w:hint="eastAsia"/>
                <w:color w:val="auto"/>
                <w:highlight w:val="none"/>
                <w:lang w:eastAsia="zh-CN"/>
              </w:rPr>
              <w:suppressLineNumbers w:val="0"/>
            </w:pPr>
            <w:r>
              <w:rPr>
                <w:rFonts w:hint="eastAsia"/>
                <w:color w:val="auto"/>
                <w:highlight w:val="none"/>
                <w:lang w:eastAsia="zh-CN"/>
              </w:rPr>
            </w:r>
            <w:r/>
          </w:p>
        </w:tc>
        <w:tc>
          <w:tcPr>
            <w:tcW w:w="3009" w:type="dxa"/>
            <w:vAlign w:val="center"/>
            <w:textDirection w:val="lrTb"/>
            <w:noWrap w:val="false"/>
          </w:tcPr>
          <w:p>
            <w:pPr>
              <w:jc w:val="center"/>
              <w:rPr>
                <w:rFonts w:hint="eastAsia"/>
                <w:color w:val="auto"/>
                <w:highlight w:val="none"/>
              </w:rPr>
            </w:pPr>
            <w:r>
              <w:rPr>
                <w:rFonts w:hint="eastAsia"/>
                <w:color w:val="auto"/>
                <w:highlight w:val="none"/>
              </w:rPr>
            </w:r>
            <w:r/>
          </w:p>
        </w:tc>
        <w:tc>
          <w:tcPr>
            <w:tcW w:w="15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p>
        </w:tc>
        <w:tc>
          <w:tcPr>
            <w:tcW w:w="12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p>
        </w:tc>
      </w:tr>
      <w:tr>
        <w:trPr>
          <w:jc w:val="center"/>
          <w:trHeight w:val="292"/>
        </w:trPr>
        <w:tc>
          <w:tcPr>
            <w:tcW w:w="1054" w:type="dxa"/>
            <w:vAlign w:val="center"/>
            <w:textDirection w:val="lrTb"/>
            <w:noWrap w:val="false"/>
          </w:tcPr>
          <w:p>
            <w:pPr>
              <w:jc w:val="center"/>
              <w:keepLines w:val="0"/>
              <w:keepNext w:val="0"/>
              <w:widowControl/>
              <w:rPr>
                <w:rFonts w:hint="eastAsia"/>
                <w:color w:val="auto"/>
                <w:highlight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t xml:space="preserve">3</w:t>
            </w:r>
            <w:r/>
          </w:p>
        </w:tc>
        <w:tc>
          <w:tcPr>
            <w:tcW w:w="2034" w:type="dxa"/>
            <w:vAlign w:val="center"/>
            <w:textDirection w:val="lrTb"/>
            <w:noWrap w:val="false"/>
          </w:tcPr>
          <w:p>
            <w:pPr>
              <w:jc w:val="center"/>
              <w:keepLines w:val="0"/>
              <w:keepNext w:val="0"/>
              <w:widowControl/>
              <w:rPr>
                <w:rFonts w:hint="eastAsia"/>
                <w:color w:val="auto"/>
                <w:highlight w:val="none"/>
                <w:lang w:eastAsia="zh-CN"/>
              </w:rPr>
              <w:suppressLineNumbers w:val="0"/>
            </w:pPr>
            <w:r>
              <w:rPr>
                <w:rFonts w:hint="eastAsia"/>
                <w:color w:val="auto"/>
                <w:highlight w:val="none"/>
                <w:lang w:eastAsia="zh-CN"/>
              </w:rPr>
            </w:r>
            <w:r/>
          </w:p>
        </w:tc>
        <w:tc>
          <w:tcPr>
            <w:tcW w:w="3009" w:type="dxa"/>
            <w:vAlign w:val="center"/>
            <w:textDirection w:val="lrTb"/>
            <w:noWrap w:val="false"/>
          </w:tcPr>
          <w:p>
            <w:pPr>
              <w:jc w:val="center"/>
              <w:rPr>
                <w:rFonts w:hint="eastAsia"/>
                <w:color w:val="auto"/>
                <w:highlight w:val="none"/>
              </w:rPr>
            </w:pPr>
            <w:r>
              <w:rPr>
                <w:rFonts w:hint="eastAsia"/>
                <w:color w:val="auto"/>
                <w:highlight w:val="none"/>
              </w:rPr>
            </w:r>
            <w:r/>
          </w:p>
        </w:tc>
        <w:tc>
          <w:tcPr>
            <w:tcW w:w="15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p>
        </w:tc>
        <w:tc>
          <w:tcPr>
            <w:tcW w:w="12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p>
        </w:tc>
      </w:tr>
      <w:tr>
        <w:trPr>
          <w:jc w:val="center"/>
          <w:trHeight w:val="292"/>
        </w:trPr>
        <w:tc>
          <w:tcPr>
            <w:tcW w:w="1054" w:type="dxa"/>
            <w:vAlign w:val="center"/>
            <w:textDirection w:val="lrTb"/>
            <w:noWrap w:val="false"/>
          </w:tcPr>
          <w:p>
            <w:pPr>
              <w:jc w:val="center"/>
              <w:keepLines w:val="0"/>
              <w:keepNext w:val="0"/>
              <w:widowControl/>
              <w:rPr>
                <w:rFonts w:hint="eastAsia"/>
                <w:color w:val="auto"/>
                <w:highlight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t xml:space="preserve">4</w:t>
            </w:r>
            <w:r/>
          </w:p>
        </w:tc>
        <w:tc>
          <w:tcPr>
            <w:tcW w:w="2034" w:type="dxa"/>
            <w:vAlign w:val="center"/>
            <w:textDirection w:val="lrTb"/>
            <w:noWrap w:val="false"/>
          </w:tcPr>
          <w:p>
            <w:pPr>
              <w:jc w:val="center"/>
              <w:keepLines w:val="0"/>
              <w:keepNext w:val="0"/>
              <w:widowControl/>
              <w:rPr>
                <w:rFonts w:hint="eastAsia"/>
                <w:color w:val="auto"/>
                <w:highlight w:val="none"/>
                <w:lang w:eastAsia="zh-CN"/>
              </w:rPr>
              <w:suppressLineNumbers w:val="0"/>
            </w:pPr>
            <w:r>
              <w:rPr>
                <w:rFonts w:hint="eastAsia"/>
                <w:color w:val="auto"/>
                <w:highlight w:val="none"/>
                <w:lang w:eastAsia="zh-CN"/>
              </w:rPr>
            </w:r>
            <w:r/>
          </w:p>
        </w:tc>
        <w:tc>
          <w:tcPr>
            <w:tcW w:w="3009" w:type="dxa"/>
            <w:vAlign w:val="center"/>
            <w:textDirection w:val="lrTb"/>
            <w:noWrap w:val="false"/>
          </w:tcPr>
          <w:p>
            <w:pPr>
              <w:jc w:val="center"/>
              <w:rPr>
                <w:rFonts w:hint="eastAsia"/>
                <w:color w:val="auto"/>
                <w:highlight w:val="none"/>
              </w:rPr>
            </w:pPr>
            <w:r>
              <w:rPr>
                <w:rFonts w:hint="eastAsia"/>
                <w:color w:val="auto"/>
                <w:highlight w:val="none"/>
              </w:rPr>
            </w:r>
            <w:r/>
          </w:p>
        </w:tc>
        <w:tc>
          <w:tcPr>
            <w:tcW w:w="15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p>
        </w:tc>
        <w:tc>
          <w:tcPr>
            <w:tcW w:w="12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p>
        </w:tc>
      </w:tr>
      <w:tr>
        <w:trPr>
          <w:jc w:val="center"/>
          <w:trHeight w:val="336"/>
        </w:trPr>
        <w:tc>
          <w:tcPr>
            <w:tcW w:w="1054" w:type="dxa"/>
            <w:vAlign w:val="center"/>
            <w:textDirection w:val="lrTb"/>
            <w:noWrap w:val="false"/>
          </w:tcPr>
          <w:p>
            <w:pPr>
              <w:jc w:val="center"/>
              <w:keepLines w:val="0"/>
              <w:keepNext w:val="0"/>
              <w:widowControl/>
              <w:rPr>
                <w:rFonts w:hint="eastAsia"/>
                <w:color w:val="auto"/>
                <w:highlight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t xml:space="preserve">5</w:t>
            </w:r>
            <w:r/>
          </w:p>
        </w:tc>
        <w:tc>
          <w:tcPr>
            <w:tcW w:w="2034" w:type="dxa"/>
            <w:vAlign w:val="center"/>
            <w:textDirection w:val="lrTb"/>
            <w:noWrap w:val="false"/>
          </w:tcPr>
          <w:p>
            <w:pPr>
              <w:jc w:val="center"/>
              <w:keepLines w:val="0"/>
              <w:keepNext w:val="0"/>
              <w:pageBreakBefore w:val="0"/>
              <w:spacing w:line="360" w:lineRule="exact"/>
              <w:widowControl/>
              <w:rPr>
                <w:rFonts w:hint="eastAsia"/>
                <w:color w:val="auto"/>
                <w:highlight w:val="none"/>
                <w:lang w:eastAsia="zh-CN"/>
              </w:rPr>
              <w:suppressLineNumbers w:val="0"/>
            </w:pPr>
            <w:r>
              <w:rPr>
                <w:rFonts w:hint="eastAsia"/>
                <w:color w:val="auto"/>
                <w:highlight w:val="none"/>
                <w:lang w:eastAsia="zh-CN"/>
              </w:rPr>
            </w:r>
            <w:r/>
          </w:p>
        </w:tc>
        <w:tc>
          <w:tcPr>
            <w:tcW w:w="3009" w:type="dxa"/>
            <w:vAlign w:val="center"/>
            <w:textDirection w:val="lrTb"/>
            <w:noWrap w:val="false"/>
          </w:tcPr>
          <w:p>
            <w:pPr>
              <w:jc w:val="center"/>
              <w:rPr>
                <w:rFonts w:hint="eastAsia"/>
                <w:color w:val="auto"/>
                <w:highlight w:val="none"/>
              </w:rPr>
            </w:pPr>
            <w:r>
              <w:rPr>
                <w:rFonts w:hint="eastAsia"/>
                <w:color w:val="auto"/>
                <w:highlight w:val="none"/>
              </w:rPr>
            </w:r>
            <w:r/>
          </w:p>
        </w:tc>
        <w:tc>
          <w:tcPr>
            <w:tcW w:w="15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p>
        </w:tc>
        <w:tc>
          <w:tcPr>
            <w:tcW w:w="12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p>
        </w:tc>
      </w:tr>
      <w:tr>
        <w:trPr>
          <w:jc w:val="center"/>
          <w:trHeight w:val="292"/>
        </w:trPr>
        <w:tc>
          <w:tcPr>
            <w:tcW w:w="1054" w:type="dxa"/>
            <w:vAlign w:val="center"/>
            <w:textDirection w:val="lrTb"/>
            <w:noWrap w:val="false"/>
          </w:tcPr>
          <w:p>
            <w:pPr>
              <w:jc w:val="center"/>
              <w:keepLines w:val="0"/>
              <w:keepNext w:val="0"/>
              <w:widowControl/>
              <w:rPr>
                <w:rFonts w:hint="eastAsia"/>
                <w:color w:val="auto"/>
                <w:highlight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t xml:space="preserve">6</w:t>
            </w:r>
            <w:r/>
          </w:p>
        </w:tc>
        <w:tc>
          <w:tcPr>
            <w:tcW w:w="2034" w:type="dxa"/>
            <w:vAlign w:val="center"/>
            <w:textDirection w:val="lrTb"/>
            <w:noWrap w:val="false"/>
          </w:tcPr>
          <w:p>
            <w:pPr>
              <w:jc w:val="center"/>
              <w:keepLines w:val="0"/>
              <w:keepNext w:val="0"/>
              <w:widowControl/>
              <w:rPr>
                <w:rFonts w:hint="eastAsia"/>
                <w:color w:val="auto"/>
                <w:highlight w:val="none"/>
                <w:lang w:eastAsia="zh-CN"/>
              </w:rPr>
              <w:suppressLineNumbers w:val="0"/>
            </w:pPr>
            <w:r>
              <w:rPr>
                <w:rFonts w:hint="eastAsia"/>
                <w:color w:val="auto"/>
                <w:highlight w:val="none"/>
                <w:lang w:eastAsia="zh-CN"/>
              </w:rPr>
            </w:r>
            <w:r/>
          </w:p>
        </w:tc>
        <w:tc>
          <w:tcPr>
            <w:tcW w:w="3009" w:type="dxa"/>
            <w:vAlign w:val="center"/>
            <w:textDirection w:val="lrTb"/>
            <w:noWrap w:val="false"/>
          </w:tcPr>
          <w:p>
            <w:pPr>
              <w:jc w:val="center"/>
              <w:rPr>
                <w:rFonts w:hint="eastAsia"/>
                <w:color w:val="auto"/>
                <w:highlight w:val="none"/>
              </w:rPr>
            </w:pPr>
            <w:r>
              <w:rPr>
                <w:rFonts w:hint="eastAsia"/>
                <w:color w:val="auto"/>
                <w:highlight w:val="none"/>
              </w:rPr>
            </w:r>
            <w:r/>
          </w:p>
        </w:tc>
        <w:tc>
          <w:tcPr>
            <w:tcW w:w="15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p>
        </w:tc>
        <w:tc>
          <w:tcPr>
            <w:tcW w:w="12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p>
        </w:tc>
      </w:tr>
      <w:tr>
        <w:trPr>
          <w:jc w:val="center"/>
          <w:trHeight w:val="292"/>
        </w:trPr>
        <w:tc>
          <w:tcPr>
            <w:tcW w:w="1054" w:type="dxa"/>
            <w:vAlign w:val="center"/>
            <w:textDirection w:val="lrTb"/>
            <w:noWrap w:val="false"/>
          </w:tcPr>
          <w:p>
            <w:pPr>
              <w:jc w:val="center"/>
              <w:keepLines w:val="0"/>
              <w:keepNext w:val="0"/>
              <w:widowControl/>
              <w:rPr>
                <w:rFonts w:hint="eastAsia"/>
                <w:color w:val="auto"/>
                <w:highlight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t xml:space="preserve">7</w:t>
            </w:r>
            <w:r/>
          </w:p>
        </w:tc>
        <w:tc>
          <w:tcPr>
            <w:tcW w:w="203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p>
        </w:tc>
        <w:tc>
          <w:tcPr>
            <w:tcW w:w="3009" w:type="dxa"/>
            <w:vAlign w:val="center"/>
            <w:textDirection w:val="lrTb"/>
            <w:noWrap w:val="false"/>
          </w:tcPr>
          <w:p>
            <w:pPr>
              <w:jc w:val="center"/>
              <w:rPr>
                <w:rFonts w:hint="eastAsia"/>
                <w:color w:val="auto"/>
                <w:highlight w:val="none"/>
              </w:rPr>
            </w:pPr>
            <w:r>
              <w:rPr>
                <w:rFonts w:hint="eastAsia"/>
                <w:color w:val="auto"/>
                <w:highlight w:val="none"/>
              </w:rPr>
            </w:r>
            <w:r/>
          </w:p>
        </w:tc>
        <w:tc>
          <w:tcPr>
            <w:tcW w:w="1524" w:type="dxa"/>
            <w:vAlign w:val="center"/>
            <w:textDirection w:val="lrTb"/>
            <w:noWrap w:val="false"/>
          </w:tcPr>
          <w:p>
            <w:pPr>
              <w:jc w:val="center"/>
              <w:keepLines w:val="0"/>
              <w:keepNext w:val="0"/>
              <w:widowControl/>
              <w:rPr>
                <w:rFonts w:hint="eastAsia"/>
                <w:color w:val="auto"/>
                <w:highlight w:val="none"/>
                <w:lang w:eastAsia="zh-CN"/>
              </w:rPr>
              <w:suppressLineNumbers w:val="0"/>
            </w:pPr>
            <w:r>
              <w:rPr>
                <w:rFonts w:hint="eastAsia"/>
                <w:color w:val="auto"/>
                <w:highlight w:val="none"/>
                <w:lang w:eastAsia="zh-CN"/>
              </w:rPr>
            </w:r>
            <w:r/>
          </w:p>
        </w:tc>
        <w:tc>
          <w:tcPr>
            <w:tcW w:w="1224" w:type="dxa"/>
            <w:vAlign w:val="center"/>
            <w:textDirection w:val="lrTb"/>
            <w:noWrap w:val="false"/>
          </w:tcPr>
          <w:p>
            <w:pPr>
              <w:jc w:val="center"/>
              <w:keepLines w:val="0"/>
              <w:keepNext w:val="0"/>
              <w:widowControl/>
              <w:rPr>
                <w:rFonts w:hint="eastAsia"/>
                <w:color w:val="auto"/>
                <w:highlight w:val="none"/>
                <w:lang w:eastAsia="zh-CN"/>
              </w:rPr>
              <w:suppressLineNumbers w:val="0"/>
            </w:pPr>
            <w:r>
              <w:rPr>
                <w:rFonts w:hint="eastAsia"/>
                <w:color w:val="auto"/>
                <w:highlight w:val="none"/>
                <w:lang w:eastAsia="zh-CN"/>
              </w:rPr>
            </w:r>
            <w:r/>
          </w:p>
        </w:tc>
      </w:tr>
      <w:tr>
        <w:trPr>
          <w:jc w:val="center"/>
          <w:trHeight w:val="358"/>
        </w:trPr>
        <w:tc>
          <w:tcPr>
            <w:tcW w:w="1054" w:type="dxa"/>
            <w:vAlign w:val="center"/>
            <w:textDirection w:val="lrTb"/>
            <w:noWrap w:val="false"/>
          </w:tcPr>
          <w:p>
            <w:pPr>
              <w:jc w:val="center"/>
              <w:keepLines w:val="0"/>
              <w:keepNext w:val="0"/>
              <w:widowControl/>
              <w:rPr>
                <w:rFonts w:hint="eastAsia"/>
                <w:color w:val="auto"/>
                <w:highlight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t xml:space="preserve">8</w:t>
            </w:r>
            <w:r/>
          </w:p>
        </w:tc>
        <w:tc>
          <w:tcPr>
            <w:tcW w:w="2034" w:type="dxa"/>
            <w:vAlign w:val="center"/>
            <w:textDirection w:val="lrTb"/>
            <w:noWrap w:val="false"/>
          </w:tcPr>
          <w:p>
            <w:pPr>
              <w:jc w:val="center"/>
              <w:keepLines w:val="0"/>
              <w:keepNext w:val="0"/>
              <w:widowControl/>
              <w:rPr>
                <w:rFonts w:hint="eastAsia"/>
                <w:color w:val="auto"/>
                <w:highlight w:val="none"/>
                <w:lang w:eastAsia="zh-CN"/>
              </w:rPr>
              <w:suppressLineNumbers w:val="0"/>
            </w:pPr>
            <w:r>
              <w:rPr>
                <w:rFonts w:hint="eastAsia"/>
                <w:color w:val="auto"/>
                <w:highlight w:val="none"/>
                <w:lang w:eastAsia="zh-CN"/>
              </w:rPr>
            </w:r>
            <w:r/>
          </w:p>
        </w:tc>
        <w:tc>
          <w:tcPr>
            <w:tcW w:w="3009" w:type="dxa"/>
            <w:vAlign w:val="center"/>
            <w:textDirection w:val="lrTb"/>
            <w:noWrap w:val="false"/>
          </w:tcPr>
          <w:p>
            <w:pPr>
              <w:jc w:val="center"/>
              <w:rPr>
                <w:rFonts w:hint="eastAsia"/>
                <w:color w:val="auto"/>
                <w:highlight w:val="none"/>
              </w:rPr>
            </w:pPr>
            <w:r>
              <w:rPr>
                <w:rFonts w:hint="eastAsia"/>
                <w:color w:val="auto"/>
                <w:highlight w:val="none"/>
              </w:rPr>
            </w:r>
            <w:r/>
          </w:p>
        </w:tc>
        <w:tc>
          <w:tcPr>
            <w:tcW w:w="15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p>
        </w:tc>
        <w:tc>
          <w:tcPr>
            <w:tcW w:w="12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p>
        </w:tc>
      </w:tr>
      <w:tr>
        <w:trPr>
          <w:jc w:val="center"/>
          <w:trHeight w:val="336"/>
        </w:trPr>
        <w:tc>
          <w:tcPr>
            <w:tcW w:w="1054" w:type="dxa"/>
            <w:vAlign w:val="center"/>
            <w:textDirection w:val="lrTb"/>
            <w:noWrap w:val="false"/>
          </w:tcPr>
          <w:p>
            <w:pPr>
              <w:jc w:val="center"/>
              <w:keepLines w:val="0"/>
              <w:keepNext w:val="0"/>
              <w:widowControl/>
              <w:rPr>
                <w:rFonts w:hint="eastAsia"/>
                <w:color w:val="auto"/>
                <w:highlight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t xml:space="preserve">9</w:t>
            </w:r>
            <w:r/>
          </w:p>
        </w:tc>
        <w:tc>
          <w:tcPr>
            <w:tcW w:w="2034" w:type="dxa"/>
            <w:vAlign w:val="center"/>
            <w:textDirection w:val="lrTb"/>
            <w:noWrap w:val="false"/>
          </w:tcPr>
          <w:p>
            <w:pPr>
              <w:jc w:val="center"/>
              <w:keepLines w:val="0"/>
              <w:keepNext w:val="0"/>
              <w:pageBreakBefore w:val="0"/>
              <w:spacing w:line="360" w:lineRule="exact"/>
              <w:widowControl/>
              <w:rPr>
                <w:rFonts w:hint="eastAsia"/>
                <w:color w:val="auto"/>
                <w:highlight w:val="none"/>
              </w:rPr>
              <w:suppressLineNumbers w:val="0"/>
            </w:pPr>
            <w:r>
              <w:rPr>
                <w:rFonts w:hint="eastAsia"/>
                <w:color w:val="auto"/>
                <w:highlight w:val="none"/>
              </w:rPr>
            </w:r>
            <w:r/>
          </w:p>
        </w:tc>
        <w:tc>
          <w:tcPr>
            <w:tcW w:w="3009" w:type="dxa"/>
            <w:vAlign w:val="center"/>
            <w:textDirection w:val="lrTb"/>
            <w:noWrap w:val="false"/>
          </w:tcPr>
          <w:p>
            <w:pPr>
              <w:jc w:val="center"/>
              <w:rPr>
                <w:rFonts w:hint="eastAsia"/>
                <w:color w:val="auto"/>
                <w:highlight w:val="none"/>
              </w:rPr>
            </w:pPr>
            <w:r>
              <w:rPr>
                <w:rFonts w:hint="eastAsia"/>
                <w:color w:val="auto"/>
                <w:highlight w:val="none"/>
              </w:rPr>
            </w:r>
            <w:r/>
          </w:p>
        </w:tc>
        <w:tc>
          <w:tcPr>
            <w:tcW w:w="1524" w:type="dxa"/>
            <w:vAlign w:val="center"/>
            <w:textDirection w:val="lrTb"/>
            <w:noWrap w:val="false"/>
          </w:tcPr>
          <w:p>
            <w:pPr>
              <w:jc w:val="center"/>
              <w:keepLines w:val="0"/>
              <w:keepNext w:val="0"/>
              <w:widowControl/>
              <w:rPr>
                <w:rFonts w:hint="eastAsia"/>
                <w:color w:val="auto"/>
                <w:highlight w:val="none"/>
                <w:lang w:val="en-US" w:eastAsia="zh-CN"/>
              </w:rPr>
              <w:suppressLineNumbers w:val="0"/>
            </w:pPr>
            <w:r>
              <w:rPr>
                <w:rFonts w:hint="eastAsia"/>
                <w:color w:val="auto"/>
                <w:highlight w:val="none"/>
                <w:lang w:val="en-US" w:eastAsia="zh-CN"/>
              </w:rPr>
            </w:r>
            <w:r/>
          </w:p>
        </w:tc>
        <w:tc>
          <w:tcPr>
            <w:tcW w:w="1224" w:type="dxa"/>
            <w:vAlign w:val="center"/>
            <w:textDirection w:val="lrTb"/>
            <w:noWrap w:val="false"/>
          </w:tcPr>
          <w:p>
            <w:pPr>
              <w:jc w:val="center"/>
              <w:keepLines w:val="0"/>
              <w:keepNext w:val="0"/>
              <w:widowControl/>
              <w:rPr>
                <w:rFonts w:hint="eastAsia"/>
                <w:color w:val="auto"/>
                <w:highlight w:val="none"/>
                <w:lang w:val="en-US" w:eastAsia="zh-CN"/>
              </w:rPr>
              <w:suppressLineNumbers w:val="0"/>
            </w:pPr>
            <w:r>
              <w:rPr>
                <w:rFonts w:hint="eastAsia"/>
                <w:color w:val="auto"/>
                <w:highlight w:val="none"/>
                <w:lang w:val="en-US" w:eastAsia="zh-CN"/>
              </w:rPr>
            </w:r>
            <w:r/>
          </w:p>
        </w:tc>
      </w:tr>
      <w:tr>
        <w:trPr>
          <w:jc w:val="center"/>
          <w:trHeight w:val="345"/>
        </w:trPr>
        <w:tc>
          <w:tcPr>
            <w:tcW w:w="1054" w:type="dxa"/>
            <w:vAlign w:val="center"/>
            <w:textDirection w:val="lrTb"/>
            <w:noWrap w:val="false"/>
          </w:tcPr>
          <w:p>
            <w:pPr>
              <w:jc w:val="center"/>
              <w:keepLines w:val="0"/>
              <w:keepNext w:val="0"/>
              <w:widowControl/>
              <w:rPr>
                <w:rFonts w:hint="default"/>
                <w:color w:val="auto"/>
                <w:highlight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t xml:space="preserve">10</w:t>
            </w:r>
            <w:r/>
          </w:p>
        </w:tc>
        <w:tc>
          <w:tcPr>
            <w:tcW w:w="2034" w:type="dxa"/>
            <w:vAlign w:val="center"/>
            <w:textDirection w:val="lrTb"/>
            <w:noWrap w:val="false"/>
          </w:tcPr>
          <w:p>
            <w:pPr>
              <w:jc w:val="center"/>
              <w:keepLines w:val="0"/>
              <w:keepNext w:val="0"/>
              <w:pageBreakBefore w:val="0"/>
              <w:spacing w:line="360" w:lineRule="exact"/>
              <w:widowControl/>
              <w:rPr>
                <w:rFonts w:hint="eastAsia"/>
                <w:color w:val="auto"/>
                <w:highlight w:val="none"/>
              </w:rPr>
              <w:suppressLineNumbers w:val="0"/>
            </w:pPr>
            <w:r>
              <w:rPr>
                <w:rFonts w:hint="eastAsia"/>
                <w:color w:val="auto"/>
                <w:highlight w:val="none"/>
              </w:rPr>
            </w:r>
            <w:r/>
          </w:p>
        </w:tc>
        <w:tc>
          <w:tcPr>
            <w:tcW w:w="3009" w:type="dxa"/>
            <w:vAlign w:val="center"/>
            <w:textDirection w:val="lrTb"/>
            <w:noWrap w:val="false"/>
          </w:tcPr>
          <w:p>
            <w:pPr>
              <w:jc w:val="center"/>
              <w:rPr>
                <w:rFonts w:hint="eastAsia"/>
                <w:color w:val="auto"/>
                <w:highlight w:val="none"/>
              </w:rPr>
            </w:pPr>
            <w:r>
              <w:rPr>
                <w:rFonts w:hint="eastAsia"/>
                <w:color w:val="auto"/>
                <w:highlight w:val="none"/>
              </w:rPr>
            </w:r>
            <w:r/>
          </w:p>
        </w:tc>
        <w:tc>
          <w:tcPr>
            <w:tcW w:w="1524" w:type="dxa"/>
            <w:vAlign w:val="center"/>
            <w:textDirection w:val="lrTb"/>
            <w:noWrap w:val="false"/>
          </w:tcPr>
          <w:p>
            <w:pPr>
              <w:jc w:val="center"/>
              <w:keepLines w:val="0"/>
              <w:keepNext w:val="0"/>
              <w:widowControl/>
              <w:rPr>
                <w:rFonts w:hint="eastAsia"/>
                <w:color w:val="auto"/>
                <w:highlight w:val="none"/>
                <w:lang w:val="en-US" w:eastAsia="zh-CN"/>
              </w:rPr>
              <w:suppressLineNumbers w:val="0"/>
            </w:pPr>
            <w:r>
              <w:rPr>
                <w:rFonts w:hint="eastAsia"/>
                <w:color w:val="auto"/>
                <w:highlight w:val="none"/>
                <w:lang w:val="en-US" w:eastAsia="zh-CN"/>
              </w:rPr>
            </w:r>
            <w:r/>
          </w:p>
        </w:tc>
        <w:tc>
          <w:tcPr>
            <w:tcW w:w="1224" w:type="dxa"/>
            <w:vAlign w:val="center"/>
            <w:textDirection w:val="lrTb"/>
            <w:noWrap w:val="false"/>
          </w:tcPr>
          <w:p>
            <w:pPr>
              <w:jc w:val="center"/>
              <w:keepLines w:val="0"/>
              <w:keepNext w:val="0"/>
              <w:widowControl/>
              <w:rPr>
                <w:rFonts w:hint="eastAsia"/>
                <w:color w:val="auto"/>
                <w:highlight w:val="none"/>
                <w:lang w:val="en-US" w:eastAsia="zh-CN"/>
              </w:rPr>
              <w:suppressLineNumbers w:val="0"/>
            </w:pPr>
            <w:r>
              <w:rPr>
                <w:rFonts w:hint="eastAsia"/>
                <w:color w:val="auto"/>
                <w:highlight w:val="none"/>
                <w:lang w:val="en-US" w:eastAsia="zh-CN"/>
              </w:rPr>
            </w:r>
            <w:r/>
          </w:p>
        </w:tc>
      </w:tr>
    </w:tbl>
    <w:p>
      <w:pPr>
        <w:numPr>
          <w:ilvl w:val="255"/>
          <w:numId w:val="0"/>
        </w:numPr>
        <w:ind w:left="0" w:firstLine="480"/>
        <w:keepLines w:val="0"/>
        <w:keepNext w:val="0"/>
        <w:pageBreakBefore w:val="0"/>
        <w:spacing w:line="360" w:lineRule="auto"/>
        <w:rPr>
          <w:rFonts w:ascii="宋体" w:hAnsi="宋体"/>
          <w:color w:val="auto"/>
          <w:sz w:val="24"/>
          <w:highlight w:val="none"/>
          <w:u w:val="single"/>
        </w:rPr>
      </w:pPr>
      <w:r>
        <w:rPr>
          <w:rFonts w:hint="eastAsia" w:ascii="宋体" w:hAnsi="宋体"/>
          <w:color w:val="auto"/>
          <w:sz w:val="24"/>
          <w:highlight w:val="none"/>
        </w:rPr>
        <w:t xml:space="preserve">采购标的的技术要求、商务要求具体见附件。</w:t>
      </w:r>
      <w:r/>
    </w:p>
    <w:p>
      <w:pPr>
        <w:numPr>
          <w:ilvl w:val="255"/>
          <w:numId w:val="0"/>
        </w:numPr>
        <w:ind w:left="0"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①涉及信息类产品，请填写该产品关键部件的品牌、型号：</w:t>
      </w:r>
      <w:r/>
    </w:p>
    <w:p>
      <w:pPr>
        <w:numPr>
          <w:ilvl w:val="255"/>
          <w:numId w:val="0"/>
        </w:numPr>
        <w:ind w:left="0" w:firstLine="480"/>
        <w:keepLines w:val="0"/>
        <w:keepNext w:val="0"/>
        <w:pageBreakBefore w:val="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标的名称：</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关键部件：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型号：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895"/>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关键部件：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型号：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895"/>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关键部件：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型号：</w:t>
      </w:r>
      <w:r>
        <w:rPr>
          <w:rFonts w:hint="eastAsia" w:ascii="宋体" w:hAnsi="宋体" w:eastAsia="宋体" w:cs="宋体"/>
          <w:color w:val="auto"/>
          <w:sz w:val="24"/>
          <w:szCs w:val="24"/>
          <w:highlight w:val="none"/>
          <w:u w:val="single"/>
        </w:rPr>
        <w:t xml:space="preserve">       </w:t>
      </w:r>
      <w:r/>
    </w:p>
    <w:p>
      <w:pPr>
        <w:numPr>
          <w:ilvl w:val="255"/>
          <w:numId w:val="0"/>
        </w:numPr>
        <w:ind w:left="0" w:firstLine="480"/>
        <w:jc w:val="left"/>
        <w:keepLines w:val="0"/>
        <w:keepNext w:val="0"/>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left="0" w:firstLine="480"/>
        <w:jc w:val="left"/>
        <w:keepLines w:val="0"/>
        <w:keepNext w:val="0"/>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4</w:t>
      </w:r>
      <w:r>
        <w:rPr>
          <w:rFonts w:hint="eastAsia" w:ascii="宋体" w:hAnsi="宋体" w:cs="宋体"/>
          <w:color w:val="auto"/>
          <w:sz w:val="24"/>
          <w:highlight w:val="none"/>
        </w:rPr>
        <w:t xml:space="preserve">）政府采购组织形式：</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政府集中采购</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部门集中采购  </w:t>
      </w:r>
      <w:r>
        <w:rPr>
          <w:rFonts w:ascii="Wingdings" w:hAnsi="Wingdings" w:eastAsia="Wingdings" w:cs="Wingdings"/>
          <w:color w:val="auto"/>
          <w:sz w:val="24"/>
          <w:highlight w:val="none"/>
        </w:rPr>
        <w:t xml:space="preserve">þ</w:t>
      </w:r>
      <w:r>
        <w:rPr>
          <w:rFonts w:hint="eastAsia" w:ascii="宋体" w:hAnsi="宋体" w:cs="宋体"/>
          <w:color w:val="auto"/>
          <w:sz w:val="24"/>
          <w:highlight w:val="none"/>
        </w:rPr>
        <w:t xml:space="preserve">分散采购</w:t>
      </w:r>
      <w:r/>
    </w:p>
    <w:p>
      <w:pPr>
        <w:numPr>
          <w:ilvl w:val="255"/>
          <w:numId w:val="0"/>
        </w:numPr>
        <w:ind w:left="0" w:firstLine="480"/>
        <w:jc w:val="left"/>
        <w:keepLines w:val="0"/>
        <w:keepNext w:val="0"/>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5</w:t>
      </w:r>
      <w:r>
        <w:rPr>
          <w:rFonts w:hint="eastAsia" w:ascii="宋体" w:hAnsi="宋体" w:cs="宋体"/>
          <w:color w:val="auto"/>
          <w:sz w:val="24"/>
          <w:highlight w:val="none"/>
        </w:rPr>
        <w:t xml:space="preserve">）政府采购方式：</w:t>
      </w:r>
      <w:r>
        <w:rPr>
          <w:rFonts w:ascii="Wingdings" w:hAnsi="Wingdings" w:eastAsia="Wingdings" w:cs="Wingdings"/>
          <w:color w:val="auto"/>
          <w:sz w:val="24"/>
          <w:highlight w:val="none"/>
        </w:rPr>
        <w:t xml:space="preserve">þ</w:t>
      </w:r>
      <w:r>
        <w:rPr>
          <w:rFonts w:hint="eastAsia" w:ascii="宋体" w:hAnsi="宋体" w:cs="宋体"/>
          <w:color w:val="auto"/>
          <w:sz w:val="24"/>
          <w:highlight w:val="none"/>
        </w:rPr>
        <w:t xml:space="preserve">公开招标</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邀请招标</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竞争性谈判</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竞争性磋商</w:t>
      </w:r>
      <w:r/>
    </w:p>
    <w:p>
      <w:pPr>
        <w:numPr>
          <w:ilvl w:val="255"/>
          <w:numId w:val="0"/>
        </w:numPr>
        <w:ind w:left="0" w:firstLine="480"/>
        <w:jc w:val="left"/>
        <w:keepLines w:val="0"/>
        <w:keepNext w:val="0"/>
        <w:pageBreakBefore w:val="0"/>
        <w:spacing w:line="360" w:lineRule="auto"/>
        <w:widowControl/>
        <w:rPr>
          <w:rFonts w:hint="eastAsia" w:ascii="宋体" w:hAnsi="宋体" w:cs="宋体"/>
          <w:color w:val="auto"/>
          <w:sz w:val="24"/>
          <w:highlight w:val="none"/>
        </w:rPr>
      </w:pP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询价</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单一来源</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框架协议</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其他：</w:t>
      </w:r>
      <w:r/>
    </w:p>
    <w:p>
      <w:pPr>
        <w:numPr>
          <w:ilvl w:val="255"/>
          <w:numId w:val="0"/>
        </w:numPr>
        <w:ind w:left="0" w:firstLine="480"/>
        <w:jc w:val="left"/>
        <w:keepLines w:val="0"/>
        <w:keepNext w:val="0"/>
        <w:pageBreakBefore w:val="0"/>
        <w:spacing w:line="360" w:lineRule="auto"/>
        <w:widowControl/>
        <w:rPr>
          <w:rFonts w:hint="eastAsia" w:ascii="宋体" w:hAnsi="宋体"/>
          <w:color w:val="auto"/>
          <w:sz w:val="24"/>
          <w:highlight w:val="none"/>
        </w:rPr>
      </w:pPr>
      <w:r>
        <w:rPr>
          <w:rFonts w:hint="eastAsia" w:ascii="宋体" w:hAnsi="宋体" w:eastAsia="华文楷体" w:cs="华文楷体"/>
          <w:color w:val="auto"/>
          <w:sz w:val="24"/>
          <w:highlight w:val="none"/>
        </w:rPr>
        <w:t xml:space="preserve">（</w:t>
      </w:r>
      <w:r>
        <w:rPr>
          <w:rFonts w:ascii="宋体" w:hAnsi="宋体" w:eastAsia="华文楷体" w:cs="华文楷体"/>
          <w:color w:val="auto"/>
          <w:sz w:val="24"/>
          <w:highlight w:val="none"/>
        </w:rPr>
        <w:t xml:space="preserve">6</w:t>
      </w:r>
      <w:r>
        <w:rPr>
          <w:rFonts w:hint="eastAsia" w:ascii="宋体" w:hAnsi="宋体" w:eastAsia="华文楷体" w:cs="华文楷体"/>
          <w:color w:val="auto"/>
          <w:sz w:val="24"/>
          <w:highlight w:val="none"/>
        </w:rPr>
        <w:t xml:space="preserve">）</w:t>
      </w:r>
      <w:r>
        <w:rPr>
          <w:rFonts w:hint="eastAsia" w:ascii="宋体" w:hAnsi="宋体"/>
          <w:color w:val="auto"/>
          <w:sz w:val="24"/>
          <w:highlight w:val="none"/>
        </w:rPr>
        <w:t xml:space="preserve">中标（成交）采购标的制造商是否为中小企业：</w:t>
      </w:r>
      <w:r>
        <w:rPr>
          <w:rFonts w:ascii="Wingdings" w:hAnsi="Wingdings" w:eastAsia="Wingdings" w:cs="Wingdings"/>
          <w:color w:val="auto"/>
          <w:sz w:val="24"/>
          <w:highlight w:val="none"/>
        </w:rPr>
        <w:t xml:space="preserve">þ</w:t>
      </w:r>
      <w:r>
        <w:rPr>
          <w:rFonts w:hint="eastAsia" w:ascii="宋体" w:hAnsi="宋体"/>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否</w:t>
      </w:r>
      <w:r/>
    </w:p>
    <w:p>
      <w:pPr>
        <w:numPr>
          <w:ilvl w:val="255"/>
          <w:numId w:val="0"/>
        </w:numPr>
        <w:ind w:left="0" w:firstLine="480"/>
        <w:jc w:val="left"/>
        <w:keepLines w:val="0"/>
        <w:keepNext w:val="0"/>
        <w:pageBreakBefore w:val="0"/>
        <w:spacing w:line="360" w:lineRule="auto"/>
        <w:widowControl/>
        <w:rPr>
          <w:rFonts w:ascii="宋体" w:hAnsi="宋体"/>
          <w:iCs/>
          <w:color w:val="auto"/>
          <w:sz w:val="24"/>
          <w:highlight w:val="none"/>
        </w:rPr>
      </w:pPr>
      <w:r>
        <w:rPr>
          <w:rFonts w:hint="eastAsia" w:ascii="宋体" w:hAnsi="宋体"/>
          <w:color w:val="auto"/>
          <w:sz w:val="24"/>
          <w:highlight w:val="none"/>
        </w:rPr>
        <w:t xml:space="preserve">本合同是否为专门面向中小企业的采购合同（中小企业预留合同）：</w:t>
      </w:r>
      <w:r>
        <w:rPr>
          <w:rFonts w:ascii="Wingdings" w:hAnsi="Wingdings" w:eastAsia="Wingdings" w:cs="Wingdings"/>
          <w:iCs/>
          <w:color w:val="auto"/>
          <w:sz w:val="24"/>
          <w:highlight w:val="none"/>
        </w:rPr>
        <w:t xml:space="preserve">þ</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否</w:t>
      </w:r>
      <w:r/>
    </w:p>
    <w:p>
      <w:pPr>
        <w:numPr>
          <w:ilvl w:val="255"/>
          <w:numId w:val="0"/>
        </w:numPr>
        <w:ind w:left="0" w:firstLine="480"/>
        <w:keepLines w:val="0"/>
        <w:keepNext w:val="0"/>
        <w:pageBreakBefore w:val="0"/>
        <w:spacing w:line="360" w:lineRule="auto"/>
        <w:rPr>
          <w:rFonts w:ascii="宋体" w:hAnsi="宋体"/>
          <w:iCs/>
          <w:color w:val="auto"/>
          <w:sz w:val="24"/>
          <w:highlight w:val="none"/>
        </w:rPr>
      </w:pPr>
      <w:r>
        <w:rPr>
          <w:rFonts w:hint="eastAsia"/>
          <w:color w:val="auto"/>
          <w:sz w:val="24"/>
          <w:highlight w:val="none"/>
        </w:rPr>
        <w:t xml:space="preserve">若本项目不专门面向中小企业采购，是否给予小微企业评审优惠：</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 xml:space="preserve">þ</w:t>
      </w:r>
      <w:r>
        <w:rPr>
          <w:rFonts w:hint="eastAsia" w:ascii="宋体" w:hAnsi="宋体"/>
          <w:iCs/>
          <w:color w:val="auto"/>
          <w:sz w:val="24"/>
          <w:highlight w:val="none"/>
        </w:rPr>
        <w:t xml:space="preserve">否</w:t>
      </w:r>
      <w:r/>
    </w:p>
    <w:p>
      <w:pPr>
        <w:numPr>
          <w:ilvl w:val="255"/>
          <w:numId w:val="0"/>
        </w:numPr>
        <w:ind w:left="0" w:firstLine="480"/>
        <w:keepLines w:val="0"/>
        <w:keepNext w:val="0"/>
        <w:pageBreakBefore w:val="0"/>
        <w:spacing w:line="360" w:lineRule="auto"/>
        <w:rPr>
          <w:rFonts w:ascii="宋体" w:hAnsi="宋体"/>
          <w:iCs/>
          <w:color w:val="auto"/>
          <w:sz w:val="24"/>
          <w:highlight w:val="none"/>
        </w:rPr>
      </w:pPr>
      <w:r>
        <w:rPr>
          <w:rFonts w:hint="eastAsia"/>
          <w:color w:val="auto"/>
          <w:sz w:val="24"/>
          <w:highlight w:val="none"/>
        </w:rPr>
        <w:t xml:space="preserve">中标（成交）采购标的制造商是否为残疾人福利性单位：</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 xml:space="preserve">þ</w:t>
      </w:r>
      <w:r>
        <w:rPr>
          <w:rFonts w:hint="eastAsia" w:ascii="宋体" w:hAnsi="宋体"/>
          <w:iCs/>
          <w:color w:val="auto"/>
          <w:sz w:val="24"/>
          <w:highlight w:val="none"/>
        </w:rPr>
        <w:t xml:space="preserve">否</w:t>
      </w:r>
      <w:r/>
    </w:p>
    <w:p>
      <w:pPr>
        <w:ind w:left="0" w:firstLine="480"/>
        <w:keepLines w:val="0"/>
        <w:keepNext w:val="0"/>
        <w:pageBreakBefore w:val="0"/>
        <w:spacing w:line="360" w:lineRule="auto"/>
        <w:rPr>
          <w:color w:val="auto"/>
          <w:sz w:val="24"/>
          <w:highlight w:val="none"/>
        </w:rPr>
      </w:pPr>
      <w:r>
        <w:rPr>
          <w:rFonts w:hint="eastAsia"/>
          <w:color w:val="auto"/>
          <w:sz w:val="24"/>
          <w:highlight w:val="none"/>
        </w:rPr>
        <w:t xml:space="preserve">中标（成交）采购标的制造商是否为监狱企业：</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 xml:space="preserve">þ</w:t>
      </w:r>
      <w:r>
        <w:rPr>
          <w:rFonts w:hint="eastAsia" w:ascii="宋体" w:hAnsi="宋体"/>
          <w:iCs/>
          <w:color w:val="auto"/>
          <w:sz w:val="24"/>
          <w:highlight w:val="none"/>
        </w:rPr>
        <w:t xml:space="preserve">否</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7</w:t>
      </w:r>
      <w:r>
        <w:rPr>
          <w:rFonts w:hint="eastAsia" w:ascii="宋体" w:hAnsi="宋体"/>
          <w:color w:val="auto"/>
          <w:sz w:val="24"/>
          <w:highlight w:val="none"/>
        </w:rPr>
        <w:t xml:space="preserve">）合同是否分包：</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 xml:space="preserve">þ</w:t>
      </w:r>
      <w:r>
        <w:rPr>
          <w:rFonts w:hint="eastAsia" w:ascii="宋体" w:hAnsi="宋体"/>
          <w:iCs/>
          <w:color w:val="auto"/>
          <w:sz w:val="24"/>
          <w:highlight w:val="none"/>
        </w:rPr>
        <w:t xml:space="preserve">否</w:t>
      </w:r>
      <w:r/>
    </w:p>
    <w:p>
      <w:pPr>
        <w:numPr>
          <w:ilvl w:val="255"/>
          <w:numId w:val="0"/>
        </w:numPr>
        <w:ind w:left="0" w:firstLine="480"/>
        <w:keepLines w:val="0"/>
        <w:keepNext w:val="0"/>
        <w:pageBreakBefore w:val="0"/>
        <w:spacing w:line="360" w:lineRule="auto"/>
        <w:rPr>
          <w:rFonts w:ascii="宋体" w:hAnsi="宋体" w:cs="宋体"/>
          <w:iCs/>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8</w:t>
      </w:r>
      <w:r>
        <w:rPr>
          <w:rFonts w:hint="eastAsia" w:ascii="宋体" w:hAnsi="宋体" w:cs="宋体"/>
          <w:color w:val="auto"/>
          <w:sz w:val="24"/>
          <w:highlight w:val="none"/>
        </w:rPr>
        <w:t xml:space="preserve">）中标（成交）供应商是否为外商投资企业：</w:t>
      </w:r>
      <w:r>
        <w:rPr>
          <w:rFonts w:ascii="Wingdings" w:hAnsi="Wingdings" w:eastAsia="Wingdings" w:cs="Wingdings"/>
          <w:iCs/>
          <w:color w:val="auto"/>
          <w:sz w:val="24"/>
          <w:highlight w:val="none"/>
        </w:rPr>
        <w:t xml:space="preserve"></w:t>
      </w:r>
      <w:r>
        <w:rPr>
          <w:rFonts w:hint="eastAsia" w:ascii="宋体" w:hAnsi="宋体" w:cs="宋体"/>
          <w:iCs/>
          <w:color w:val="auto"/>
          <w:sz w:val="24"/>
          <w:highlight w:val="none"/>
        </w:rPr>
        <w:t xml:space="preserve">是       </w:t>
      </w:r>
      <w:r>
        <w:rPr>
          <w:rFonts w:ascii="Wingdings" w:hAnsi="Wingdings" w:eastAsia="Wingdings" w:cs="Wingdings"/>
          <w:iCs/>
          <w:color w:val="auto"/>
          <w:sz w:val="24"/>
          <w:highlight w:val="none"/>
        </w:rPr>
        <w:t xml:space="preserve">þ</w:t>
      </w:r>
      <w:r>
        <w:rPr>
          <w:rFonts w:hint="eastAsia" w:ascii="宋体" w:hAnsi="宋体" w:cs="宋体"/>
          <w:iCs/>
          <w:color w:val="auto"/>
          <w:sz w:val="24"/>
          <w:highlight w:val="none"/>
        </w:rPr>
        <w:t xml:space="preserve">否</w:t>
      </w:r>
      <w:r/>
    </w:p>
    <w:p>
      <w:pPr>
        <w:ind w:left="0" w:firstLine="480"/>
        <w:jc w:val="left"/>
        <w:keepLines w:val="0"/>
        <w:keepNext w:val="0"/>
        <w:pageBreakBefore w:val="0"/>
        <w:spacing w:line="360" w:lineRule="auto"/>
        <w:widowControl/>
        <w:tabs>
          <w:tab w:val="left" w:pos="1340" w:leader="none"/>
        </w:tabs>
        <w:rPr>
          <w:rFonts w:ascii="宋体" w:hAnsi="宋体" w:cs="宋体"/>
          <w:color w:val="auto"/>
          <w:sz w:val="24"/>
          <w:highlight w:val="none"/>
          <w:u w:val="single"/>
        </w:rPr>
      </w:pPr>
      <w:r>
        <w:rPr>
          <w:rFonts w:hint="eastAsia" w:ascii="宋体" w:hAnsi="宋体" w:cs="宋体"/>
          <w:color w:val="auto"/>
          <w:sz w:val="24"/>
          <w:highlight w:val="none"/>
        </w:rPr>
        <w:t xml:space="preserve"> 外商投资企业类型：</w:t>
      </w:r>
      <w:r>
        <w:rPr>
          <w:rFonts w:ascii="Wingdings" w:hAnsi="Wingdings" w:eastAsia="Wingdings" w:cs="Wingdings"/>
          <w:iCs/>
          <w:color w:val="auto"/>
          <w:sz w:val="24"/>
          <w:highlight w:val="none"/>
        </w:rPr>
        <w:t xml:space="preserve"></w:t>
      </w:r>
      <w:r>
        <w:rPr>
          <w:rFonts w:hint="eastAsia" w:ascii="宋体" w:hAnsi="宋体" w:cs="宋体"/>
          <w:color w:val="auto"/>
          <w:sz w:val="24"/>
          <w:highlight w:val="none"/>
        </w:rPr>
        <w:t xml:space="preserve">全部由外国投资者投资  </w:t>
      </w:r>
      <w:r>
        <w:rPr>
          <w:rFonts w:ascii="Wingdings" w:hAnsi="Wingdings" w:eastAsia="Wingdings" w:cs="Wingdings"/>
          <w:iCs/>
          <w:color w:val="auto"/>
          <w:sz w:val="24"/>
          <w:highlight w:val="none"/>
        </w:rPr>
        <w:t xml:space="preserve"></w:t>
      </w:r>
      <w:r>
        <w:rPr>
          <w:rFonts w:hint="eastAsia" w:ascii="宋体" w:hAnsi="宋体" w:cs="宋体"/>
          <w:iCs/>
          <w:color w:val="auto"/>
          <w:sz w:val="24"/>
          <w:highlight w:val="none"/>
        </w:rPr>
        <w:t xml:space="preserve">部分由外国投资者投资</w:t>
      </w:r>
      <w:r/>
    </w:p>
    <w:p>
      <w:pPr>
        <w:numPr>
          <w:ilvl w:val="255"/>
          <w:numId w:val="0"/>
        </w:numPr>
        <w:ind w:left="0"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9</w:t>
      </w:r>
      <w:r>
        <w:rPr>
          <w:rFonts w:hint="eastAsia" w:ascii="宋体" w:hAnsi="宋体" w:cs="宋体"/>
          <w:color w:val="auto"/>
          <w:sz w:val="24"/>
          <w:highlight w:val="none"/>
        </w:rPr>
        <w:t xml:space="preserve">）是否涉及进口产品：</w:t>
      </w:r>
      <w:r/>
    </w:p>
    <w:p>
      <w:pPr>
        <w:numPr>
          <w:ilvl w:val="255"/>
          <w:numId w:val="0"/>
        </w:numPr>
        <w:ind w:left="0" w:firstLine="480"/>
        <w:keepLines w:val="0"/>
        <w:keepNext w:val="0"/>
        <w:pageBreakBefore w:val="0"/>
        <w:spacing w:line="360" w:lineRule="auto"/>
        <w:rPr>
          <w:rFonts w:ascii="宋体" w:hAnsi="宋体" w:cs="宋体"/>
          <w:color w:val="auto"/>
          <w:sz w:val="24"/>
          <w:highlight w:val="none"/>
          <w:u w:val="single"/>
        </w:rPr>
      </w:pP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是，《政府采购品目分类目录》底级品目名称：金额：</w:t>
      </w:r>
      <w:r/>
    </w:p>
    <w:p>
      <w:pPr>
        <w:numPr>
          <w:ilvl w:val="255"/>
          <w:numId w:val="0"/>
        </w:numPr>
        <w:ind w:left="0" w:firstLine="480"/>
        <w:keepLines w:val="0"/>
        <w:keepNext w:val="0"/>
        <w:pageBreakBefore w:val="0"/>
        <w:spacing w:line="360" w:lineRule="auto"/>
        <w:rPr>
          <w:rFonts w:ascii="宋体" w:hAnsi="宋体"/>
          <w:color w:val="auto"/>
          <w:sz w:val="24"/>
          <w:highlight w:val="none"/>
        </w:rPr>
      </w:pPr>
      <w:r>
        <w:rPr>
          <w:rFonts w:hint="eastAsia" w:ascii="宋体" w:hAnsi="宋体" w:cs="宋体"/>
          <w:color w:val="auto"/>
          <w:sz w:val="24"/>
          <w:highlight w:val="none"/>
        </w:rPr>
        <w:t xml:space="preserve">        国别：品牌： 规格型号：</w:t>
      </w:r>
      <w:r/>
    </w:p>
    <w:p>
      <w:pPr>
        <w:ind w:left="0" w:firstLine="480"/>
        <w:keepLines w:val="0"/>
        <w:keepNext w:val="0"/>
        <w:pageBreakBefore w:val="0"/>
        <w:spacing w:line="360" w:lineRule="auto"/>
        <w:rPr>
          <w:rFonts w:ascii="宋体" w:hAnsi="宋体"/>
          <w:color w:val="auto"/>
          <w:sz w:val="24"/>
          <w:highlight w:val="none"/>
        </w:rPr>
      </w:pPr>
      <w:r>
        <w:rPr>
          <w:rFonts w:ascii="Wingdings" w:hAnsi="Wingdings" w:eastAsia="Wingdings" w:cs="Wingdings"/>
          <w:color w:val="auto"/>
          <w:sz w:val="24"/>
          <w:highlight w:val="none"/>
        </w:rPr>
        <w:t xml:space="preserve">þ</w:t>
      </w:r>
      <w:r>
        <w:rPr>
          <w:rFonts w:hint="eastAsia" w:ascii="宋体" w:hAnsi="宋体"/>
          <w:color w:val="auto"/>
          <w:sz w:val="24"/>
          <w:highlight w:val="none"/>
        </w:rPr>
        <w:t xml:space="preserve">否</w:t>
      </w:r>
      <w:r/>
    </w:p>
    <w:p>
      <w:pPr>
        <w:numPr>
          <w:ilvl w:val="255"/>
          <w:numId w:val="0"/>
        </w:numPr>
        <w:ind w:left="0" w:firstLine="480"/>
        <w:keepLines w:val="0"/>
        <w:keepNext w:val="0"/>
        <w:pageBreakBefore w:val="0"/>
        <w:spacing w:line="360" w:lineRule="auto"/>
        <w:tabs>
          <w:tab w:val="left" w:pos="740"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0</w:t>
      </w:r>
      <w:r>
        <w:rPr>
          <w:rFonts w:hint="eastAsia" w:ascii="宋体" w:hAnsi="宋体"/>
          <w:color w:val="auto"/>
          <w:sz w:val="24"/>
          <w:highlight w:val="none"/>
        </w:rPr>
        <w:t xml:space="preserve">）是否涉及节能产品：</w:t>
      </w:r>
      <w:r/>
    </w:p>
    <w:p>
      <w:pPr>
        <w:numPr>
          <w:ilvl w:val="255"/>
          <w:numId w:val="0"/>
        </w:numPr>
        <w:ind w:left="0" w:firstLine="480"/>
        <w:keepLines w:val="0"/>
        <w:keepNext w:val="0"/>
        <w:pageBreakBefore w:val="0"/>
        <w:spacing w:line="360" w:lineRule="auto"/>
        <w:tabs>
          <w:tab w:val="left" w:pos="740" w:leader="none"/>
        </w:tabs>
        <w:rPr>
          <w:rFonts w:ascii="宋体" w:hAnsi="宋体"/>
          <w:iCs/>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是，《节能产品政府采购品目清单》的底级品目名称：</w:t>
      </w:r>
      <w:r/>
    </w:p>
    <w:p>
      <w:pPr>
        <w:numPr>
          <w:ilvl w:val="255"/>
          <w:numId w:val="0"/>
        </w:numPr>
        <w:ind w:left="0" w:firstLine="480"/>
        <w:keepLines w:val="0"/>
        <w:keepNext w:val="0"/>
        <w:pageBreakBefore w:val="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强制采购</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优先采购</w:t>
      </w:r>
      <w:r/>
    </w:p>
    <w:p>
      <w:pPr>
        <w:numPr>
          <w:ilvl w:val="255"/>
          <w:numId w:val="0"/>
        </w:numPr>
        <w:ind w:left="0" w:firstLine="480"/>
        <w:keepLines w:val="0"/>
        <w:keepNext w:val="0"/>
        <w:pageBreakBefore w:val="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否</w:t>
      </w:r>
      <w:r/>
    </w:p>
    <w:p>
      <w:pPr>
        <w:numPr>
          <w:ilvl w:val="255"/>
          <w:numId w:val="0"/>
        </w:numPr>
        <w:ind w:left="0" w:firstLine="480"/>
        <w:keepLines w:val="0"/>
        <w:keepNext w:val="0"/>
        <w:pageBreakBefore w:val="0"/>
        <w:spacing w:line="360" w:lineRule="auto"/>
        <w:tabs>
          <w:tab w:val="left" w:pos="740" w:leader="none"/>
        </w:tabs>
        <w:rPr>
          <w:rFonts w:ascii="宋体" w:hAnsi="宋体"/>
          <w:color w:val="auto"/>
          <w:sz w:val="24"/>
          <w:highlight w:val="none"/>
        </w:rPr>
      </w:pPr>
      <w:r>
        <w:rPr>
          <w:rFonts w:hint="eastAsia" w:ascii="宋体" w:hAnsi="宋体"/>
          <w:color w:val="auto"/>
          <w:sz w:val="24"/>
          <w:highlight w:val="none"/>
        </w:rPr>
        <w:t xml:space="preserve">是否涉及环境标志产品：</w:t>
      </w:r>
      <w:r/>
    </w:p>
    <w:p>
      <w:pPr>
        <w:numPr>
          <w:ilvl w:val="255"/>
          <w:numId w:val="0"/>
        </w:numPr>
        <w:ind w:left="0" w:firstLine="480"/>
        <w:keepLines w:val="0"/>
        <w:keepNext w:val="0"/>
        <w:pageBreakBefore w:val="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是，《环境标志产品政府采购品目清单》的底级品目名称：</w:t>
      </w:r>
      <w:r/>
    </w:p>
    <w:p>
      <w:pPr>
        <w:numPr>
          <w:ilvl w:val="255"/>
          <w:numId w:val="0"/>
        </w:numPr>
        <w:ind w:left="0" w:firstLine="480"/>
        <w:keepLines w:val="0"/>
        <w:keepNext w:val="0"/>
        <w:pageBreakBefore w:val="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强制采购</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优先采购</w:t>
      </w:r>
      <w:r/>
    </w:p>
    <w:p>
      <w:pPr>
        <w:numPr>
          <w:ilvl w:val="255"/>
          <w:numId w:val="0"/>
        </w:numPr>
        <w:ind w:left="0" w:firstLine="480"/>
        <w:keepLines w:val="0"/>
        <w:keepNext w:val="0"/>
        <w:pageBreakBefore w:val="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否</w:t>
      </w:r>
      <w:r/>
    </w:p>
    <w:p>
      <w:pPr>
        <w:numPr>
          <w:ilvl w:val="255"/>
          <w:numId w:val="0"/>
        </w:numPr>
        <w:ind w:left="0" w:firstLine="480"/>
        <w:jc w:val="left"/>
        <w:keepLines w:val="0"/>
        <w:keepNext w:val="0"/>
        <w:pageBreakBefore w:val="0"/>
        <w:spacing w:line="360" w:lineRule="auto"/>
        <w:widowControl/>
        <w:rPr>
          <w:rFonts w:ascii="宋体" w:hAnsi="宋体"/>
          <w:color w:val="auto"/>
          <w:sz w:val="24"/>
          <w:highlight w:val="none"/>
        </w:rPr>
      </w:pPr>
      <w:r>
        <w:rPr>
          <w:rFonts w:hint="eastAsia" w:ascii="宋体" w:hAnsi="宋体"/>
          <w:color w:val="auto"/>
          <w:sz w:val="24"/>
          <w:highlight w:val="none"/>
        </w:rPr>
        <w:t xml:space="preserve">是否涉及绿色产品：</w:t>
      </w:r>
      <w:r/>
    </w:p>
    <w:p>
      <w:pPr>
        <w:ind w:left="0" w:firstLine="480"/>
        <w:jc w:val="left"/>
        <w:keepLines w:val="0"/>
        <w:keepNext w:val="0"/>
        <w:pageBreakBefore w:val="0"/>
        <w:spacing w:line="360" w:lineRule="auto"/>
        <w:widowControl/>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是，绿色产品政府采购相关政策确定的底级品目名称：</w:t>
      </w:r>
      <w:r/>
    </w:p>
    <w:p>
      <w:pPr>
        <w:numPr>
          <w:ilvl w:val="255"/>
          <w:numId w:val="0"/>
        </w:numPr>
        <w:ind w:left="0" w:firstLine="480"/>
        <w:keepLines w:val="0"/>
        <w:keepNext w:val="0"/>
        <w:pageBreakBefore w:val="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强制采购</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优先采购</w:t>
      </w:r>
      <w:r/>
    </w:p>
    <w:p>
      <w:pPr>
        <w:ind w:left="0" w:firstLine="480"/>
        <w:jc w:val="left"/>
        <w:keepLines w:val="0"/>
        <w:keepNext w:val="0"/>
        <w:pageBreakBefore w:val="0"/>
        <w:spacing w:line="360" w:lineRule="auto"/>
        <w:widowControl/>
        <w:rPr>
          <w:rFonts w:ascii="宋体" w:hAnsi="宋体" w:eastAsia="华文楷体" w:cs="华文楷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否</w:t>
      </w:r>
      <w:r/>
    </w:p>
    <w:p>
      <w:pPr>
        <w:numPr>
          <w:ilvl w:val="255"/>
          <w:numId w:val="0"/>
        </w:num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（11）涉及商品包装和快递包装的，是否参考《商品包装政府采购需求标准（试行）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快递包装政府采购需求标准（试行）》明确产品及相关快递服务的具体包装要求：</w:t>
      </w:r>
      <w:r/>
    </w:p>
    <w:p>
      <w:pPr>
        <w:numPr>
          <w:ilvl w:val="255"/>
          <w:numId w:val="0"/>
        </w:num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rPr>
          <w:rFonts w:hint="eastAsia" w:ascii="宋体" w:hAnsi="宋体" w:eastAsia="宋体" w:cs="宋体"/>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不涉及</w:t>
      </w:r>
      <w:r/>
    </w:p>
    <w:p>
      <w:pPr>
        <w:numPr>
          <w:ilvl w:val="0"/>
          <w:numId w:val="1"/>
        </w:numPr>
        <w:ind w:lef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合同金额</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（1）合同金额小写：</w:t>
      </w:r>
      <w:r/>
    </w:p>
    <w:p>
      <w:pPr>
        <w:ind w:left="0" w:firstLine="480"/>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大写：</w:t>
      </w:r>
      <w:r/>
    </w:p>
    <w:p>
      <w:pPr>
        <w:ind w:lef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（2）付款方式（按项目实际勾选填写，具体详见专用条款第二节第12.2款）：</w:t>
      </w:r>
      <w:r/>
    </w:p>
    <w:p>
      <w:pPr>
        <w:ind w:left="0" w:firstLine="480"/>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分期付款：</w:t>
      </w:r>
      <w:r>
        <w:rPr>
          <w:rFonts w:hint="eastAsia" w:ascii="宋体" w:hAnsi="宋体" w:eastAsia="宋体" w:cs="宋体"/>
          <w:color w:val="auto"/>
          <w:sz w:val="24"/>
          <w:szCs w:val="24"/>
          <w:highlight w:val="none"/>
          <w:u w:val="single"/>
          <w:lang w:val="en-US" w:eastAsia="zh-CN"/>
        </w:rPr>
        <w:t xml:space="preserve">1.所有货物安装完毕，甲方组织初步验收，初步验收合格后收到乙方发票10个工作日内甲方向乙方支付至合同总价的90%款项</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2.初步验收合格且项目运行满12个月后，甲方组织最终验收，最终验收合格后收到乙方发票10个工作日内甲方付清货款</w:t>
      </w:r>
      <w:r>
        <w:rPr>
          <w:rFonts w:hint="eastAsia" w:ascii="宋体" w:hAnsi="宋体" w:eastAsia="宋体" w:cs="宋体"/>
          <w:color w:val="auto"/>
          <w:sz w:val="24"/>
          <w:szCs w:val="24"/>
          <w:highlight w:val="none"/>
        </w:rPr>
        <w:t xml:space="preserve">，其中涉及预付款的：</w:t>
      </w:r>
      <w:r>
        <w:rPr>
          <w:rFonts w:hint="eastAsia" w:ascii="宋体" w:hAnsi="宋体" w:eastAsia="宋体" w:cs="宋体"/>
          <w:color w:val="auto"/>
          <w:sz w:val="24"/>
          <w:szCs w:val="24"/>
          <w:highlight w:val="none"/>
          <w:u w:val="single"/>
        </w:rPr>
        <w:t xml:space="preserve"> 合同签订后30日内，支付合同金额30%的预付款</w:t>
      </w:r>
      <w:r>
        <w:rPr>
          <w:rFonts w:hint="eastAsia" w:ascii="宋体" w:hAnsi="宋体" w:eastAsia="宋体" w:cs="宋体"/>
          <w:color w:val="auto"/>
          <w:sz w:val="24"/>
          <w:szCs w:val="24"/>
          <w:highlight w:val="none"/>
          <w:u w:val="single"/>
          <w:lang w:eastAsia="zh-CN"/>
        </w:rPr>
        <w:t xml:space="preserve">（在签订合同时，乙方明确表示无需预付款或者主动要求降低预付款比例的，甲方可不适用上述关于预付款的规定。）</w:t>
      </w:r>
      <w:r>
        <w:rPr>
          <w:rFonts w:hint="eastAsia" w:ascii="宋体" w:hAnsi="宋体" w:eastAsia="宋体" w:cs="宋体"/>
          <w:color w:val="auto"/>
          <w:sz w:val="24"/>
          <w:szCs w:val="24"/>
          <w:highlight w:val="none"/>
          <w:u w:val="single"/>
        </w:rPr>
        <w:t xml:space="preserve"> </w:t>
      </w:r>
      <w:r/>
    </w:p>
    <w:p>
      <w:pPr>
        <w:ind w:left="0" w:firstLine="480"/>
        <w:keepLines w:val="0"/>
        <w:keepNext w:val="0"/>
        <w:pageBreakBefore w:val="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rPr>
        <w:t xml:space="preserve">注：⑴结算时，乙方必须提供乙方单位名称的正式发票。本合同执行中相关的一切税费均由乙方负担。⑵支付方式：银行转账。⑶以上付款均无息。结算时，乙方须提供税务发票。</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依据《保障中小企业款项支付条例》（2020年7月5日中华人民共和国国务院令第728号公布　2025年3月17日中华人民共和国国务院令第802号修订 自2025年6月1日起施行）第九条　机关、事业单位从中小企业采购货物、工程、服务，应当自货物、工程、服务交付之日起30日内支付款项；合同另有约定的，从其约定，但付款期限最长不得超过60日。</w:t>
      </w:r>
      <w:r/>
    </w:p>
    <w:p>
      <w:pPr>
        <w:numPr>
          <w:ilvl w:val="0"/>
          <w:numId w:val="1"/>
        </w:numPr>
        <w:ind w:left="0" w:firstLine="482"/>
        <w:keepLines w:val="0"/>
        <w:keepNext w:val="0"/>
        <w:pageBreakBefore w:val="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合同履行</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（1）合同履行期限：</w:t>
      </w:r>
      <w:r>
        <w:rPr>
          <w:rFonts w:hint="eastAsia" w:ascii="宋体" w:hAnsi="宋体" w:eastAsia="宋体" w:cs="宋体"/>
          <w:b/>
          <w:color w:val="auto"/>
          <w:sz w:val="24"/>
          <w:szCs w:val="24"/>
          <w:highlight w:val="none"/>
          <w:u w:val="single"/>
        </w:rPr>
        <w:t xml:space="preserve">合同签订后</w:t>
      </w:r>
      <w:r>
        <w:rPr>
          <w:rFonts w:hint="eastAsia" w:ascii="宋体" w:hAnsi="宋体" w:eastAsia="宋体" w:cs="宋体"/>
          <w:b/>
          <w:color w:val="auto"/>
          <w:sz w:val="24"/>
          <w:szCs w:val="24"/>
          <w:highlight w:val="none"/>
          <w:u w:val="single"/>
          <w:lang w:val="en-US" w:eastAsia="zh-CN"/>
        </w:rPr>
        <w:t xml:space="preserve">3</w:t>
      </w:r>
      <w:r>
        <w:rPr>
          <w:rFonts w:hint="eastAsia" w:ascii="宋体" w:hAnsi="宋体" w:eastAsia="宋体" w:cs="宋体"/>
          <w:b/>
          <w:color w:val="auto"/>
          <w:sz w:val="24"/>
          <w:szCs w:val="24"/>
          <w:highlight w:val="none"/>
          <w:u w:val="single"/>
        </w:rPr>
        <w:t xml:space="preserve">0日历天内货物全部送达招标人指定位置且安装、调试完毕，并确保正常稳定运行</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（2）履约地点</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东台市（采购人指定地点）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履约担保：履约担保：是否收取履约保证金：</w:t>
      </w: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ind w:left="0" w:firstLine="480"/>
        <w:keepLines w:val="0"/>
        <w:keepNext w:val="0"/>
        <w:pageBreakBefore w:val="0"/>
        <w:spacing w:line="360" w:lineRule="auto"/>
        <w:rPr>
          <w:rFonts w:hint="eastAsia" w:ascii="宋体" w:hAnsi="宋体" w:cs="宋体"/>
          <w:bCs/>
          <w:color w:val="auto"/>
          <w:sz w:val="24"/>
          <w:highlight w:val="none"/>
          <w:u w:val="single"/>
        </w:rPr>
      </w:pPr>
      <w:r>
        <w:rPr>
          <w:rFonts w:hint="eastAsia" w:ascii="宋体" w:hAnsi="宋体" w:eastAsia="宋体" w:cs="宋体"/>
          <w:color w:val="auto"/>
          <w:sz w:val="24"/>
          <w:szCs w:val="24"/>
          <w:highlight w:val="none"/>
        </w:rPr>
        <w:t xml:space="preserve">     收取履约保证金形式：</w:t>
      </w:r>
      <w:r>
        <w:rPr>
          <w:rFonts w:hint="eastAsia" w:ascii="宋体" w:hAnsi="宋体" w:eastAsia="宋体" w:cs="宋体"/>
          <w:bCs/>
          <w:color w:val="auto"/>
          <w:sz w:val="24"/>
          <w:szCs w:val="24"/>
          <w:highlight w:val="none"/>
          <w:u w:val="single"/>
        </w:rPr>
        <w:t xml:space="preserve">供应商应当以支票、汇票、本票或者金融机构、担保机构出具的保函等非现金形式提交履约保证金。依据《关于在全省政府采购领域推行电子履约保函（保险）的通知》，鼓励供应商自愿使用电子履约保函</w:t>
      </w:r>
      <w:r>
        <w:rPr>
          <w:rFonts w:hint="eastAsia" w:ascii="宋体" w:hAnsi="宋体" w:cs="宋体"/>
          <w:bCs/>
          <w:color w:val="auto"/>
          <w:sz w:val="24"/>
          <w:highlight w:val="none"/>
          <w:u w:val="single"/>
        </w:rPr>
        <w:t xml:space="preserve">（保险）代替缴纳履约保证金。</w:t>
      </w:r>
      <w:r/>
    </w:p>
    <w:p>
      <w:pPr>
        <w:ind w:left="0" w:firstLine="480"/>
        <w:keepLines w:val="0"/>
        <w:keepNext w:val="0"/>
        <w:pageBreakBefore w:val="0"/>
        <w:spacing w:line="360" w:lineRule="auto"/>
        <w:rPr>
          <w:rFonts w:ascii="宋体" w:hAnsi="宋体" w:cs="宋体"/>
          <w:color w:val="auto"/>
          <w:sz w:val="24"/>
          <w:highlight w:val="none"/>
        </w:rPr>
      </w:pPr>
      <w:r>
        <w:rPr>
          <w:rFonts w:hint="eastAsia" w:ascii="宋体" w:hAnsi="宋体" w:cs="宋体"/>
          <w:bCs/>
          <w:color w:val="auto"/>
          <w:sz w:val="24"/>
          <w:highlight w:val="none"/>
          <w:u w:val="single"/>
        </w:rPr>
        <w:t xml:space="preserve"> 如以履约保函（保险）形式缴纳履约保证金，供应商可通过政府采购电子履约保函（保险）平台（www.jsdzbh.com）在线申请履约保函（保险）。 </w:t>
      </w:r>
      <w:r>
        <w:rPr>
          <w:rFonts w:hint="eastAsia" w:ascii="宋体" w:hAnsi="宋体" w:cs="宋体"/>
          <w:bCs/>
          <w:color w:val="auto"/>
          <w:sz w:val="24"/>
          <w:highlight w:val="none"/>
        </w:rPr>
        <w:t xml:space="preserve"> </w:t>
      </w:r>
      <w:r>
        <w:rPr>
          <w:rFonts w:hint="eastAsia" w:ascii="宋体" w:hAnsi="宋体" w:cs="宋体"/>
          <w:color w:val="auto"/>
          <w:sz w:val="24"/>
          <w:highlight w:val="none"/>
        </w:rPr>
        <w:t xml:space="preserve">       </w:t>
      </w:r>
      <w:r/>
    </w:p>
    <w:p>
      <w:pPr>
        <w:ind w:left="0"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     收取履约保证金金额：</w:t>
      </w:r>
      <w:r>
        <w:rPr>
          <w:rFonts w:hint="eastAsia" w:ascii="宋体" w:hAnsi="宋体" w:cs="宋体"/>
          <w:bCs/>
          <w:color w:val="auto"/>
          <w:sz w:val="24"/>
          <w:highlight w:val="none"/>
          <w:u w:val="single"/>
        </w:rPr>
        <w:t xml:space="preserve">合同金额的10% </w:t>
      </w:r>
      <w:r>
        <w:rPr>
          <w:rFonts w:hint="eastAsia" w:ascii="宋体" w:hAnsi="宋体" w:cs="宋体"/>
          <w:bCs/>
          <w:color w:val="auto"/>
          <w:sz w:val="24"/>
          <w:highlight w:val="none"/>
          <w:u w:val="single"/>
          <w:lang w:eastAsia="zh-CN"/>
        </w:rPr>
        <w:t xml:space="preserve">。</w:t>
      </w:r>
      <w:r>
        <w:rPr>
          <w:rFonts w:hint="eastAsia" w:ascii="宋体" w:hAnsi="宋体" w:cs="宋体"/>
          <w:color w:val="auto"/>
          <w:sz w:val="24"/>
          <w:highlight w:val="none"/>
        </w:rPr>
        <w:t xml:space="preserve">      </w:t>
      </w:r>
      <w:r/>
    </w:p>
    <w:p>
      <w:pPr>
        <w:ind w:left="0" w:firstLine="480"/>
        <w:keepLines w:val="0"/>
        <w:keepNext w:val="0"/>
        <w:pageBreakBefore w:val="0"/>
        <w:spacing w:line="360" w:lineRule="auto"/>
        <w:rPr>
          <w:rFonts w:hint="eastAsia" w:ascii="宋体" w:hAnsi="宋体" w:cs="宋体"/>
          <w:bCs/>
          <w:color w:val="auto"/>
          <w:sz w:val="24"/>
          <w:highlight w:val="none"/>
          <w:u w:val="single"/>
        </w:rPr>
      </w:pPr>
      <w:r>
        <w:rPr>
          <w:rFonts w:hint="eastAsia" w:ascii="宋体" w:hAnsi="宋体" w:cs="宋体"/>
          <w:color w:val="auto"/>
          <w:sz w:val="24"/>
          <w:highlight w:val="none"/>
        </w:rPr>
        <w:t xml:space="preserve">     履约担保期限：</w:t>
      </w:r>
      <w:r>
        <w:rPr>
          <w:rFonts w:hint="eastAsia" w:ascii="宋体" w:hAnsi="宋体" w:cs="宋体"/>
          <w:bCs/>
          <w:color w:val="auto"/>
          <w:sz w:val="24"/>
          <w:highlight w:val="none"/>
          <w:u w:val="single"/>
          <w:lang w:val="en-US" w:eastAsia="zh-CN"/>
        </w:rPr>
        <w:t xml:space="preserve">合同签订后90天。</w:t>
      </w:r>
      <w:r/>
    </w:p>
    <w:p>
      <w:pPr>
        <w:ind w:left="0" w:firstLine="480"/>
        <w:keepLines w:val="0"/>
        <w:keepNext w:val="0"/>
        <w:pageBreakBefore w:val="0"/>
        <w:spacing w:line="360" w:lineRule="auto"/>
        <w:rPr>
          <w:rFonts w:hint="eastAsia" w:ascii="宋体" w:hAnsi="宋体" w:cs="宋体" w:eastAsiaTheme="minorEastAsia"/>
          <w:bCs/>
          <w:color w:val="auto"/>
          <w:sz w:val="24"/>
          <w:highlight w:val="none"/>
          <w:lang w:val="en-US" w:eastAsia="zh-CN"/>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）分期履行要求：</w:t>
      </w:r>
      <w:r>
        <w:rPr>
          <w:rFonts w:hint="eastAsia" w:ascii="宋体" w:hAnsi="宋体" w:cs="宋体"/>
          <w:bCs/>
          <w:color w:val="auto"/>
          <w:sz w:val="24"/>
          <w:highlight w:val="none"/>
          <w:lang w:val="en-US" w:eastAsia="zh-CN"/>
        </w:rPr>
        <w:t xml:space="preserve">/</w:t>
      </w:r>
      <w:r/>
    </w:p>
    <w:p>
      <w:pPr>
        <w:ind w:left="0" w:firstLine="480"/>
        <w:keepLines w:val="0"/>
        <w:keepNext w:val="0"/>
        <w:pageBreakBefore w:val="0"/>
        <w:spacing w:line="360" w:lineRule="auto"/>
        <w:rPr>
          <w:rFonts w:hint="eastAsia" w:ascii="宋体" w:hAnsi="宋体" w:cs="宋体" w:eastAsiaTheme="minorEastAsia"/>
          <w:color w:val="auto"/>
          <w:sz w:val="24"/>
          <w:highlight w:val="none"/>
          <w:u w:val="single"/>
          <w:lang w:val="en-US" w:eastAsia="zh-CN"/>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）风险处置措施和替代方案：</w:t>
      </w:r>
      <w:r>
        <w:rPr>
          <w:rFonts w:hint="eastAsia" w:ascii="宋体" w:hAnsi="宋体" w:cs="宋体"/>
          <w:bCs/>
          <w:color w:val="auto"/>
          <w:sz w:val="24"/>
          <w:highlight w:val="none"/>
          <w:lang w:val="en-US" w:eastAsia="zh-CN"/>
        </w:rPr>
        <w:t xml:space="preserve">/</w:t>
      </w:r>
      <w:r/>
    </w:p>
    <w:p>
      <w:pPr>
        <w:numPr>
          <w:ilvl w:val="0"/>
          <w:numId w:val="1"/>
        </w:numPr>
        <w:ind w:left="0" w:firstLine="482"/>
        <w:keepLines w:val="0"/>
        <w:keepNext w:val="0"/>
        <w:pageBreakBefore w:val="0"/>
        <w:spacing w:line="360" w:lineRule="auto"/>
        <w:rPr>
          <w:rFonts w:ascii="宋体" w:hAnsi="宋体"/>
          <w:b/>
          <w:color w:val="auto"/>
          <w:sz w:val="24"/>
          <w:highlight w:val="none"/>
        </w:rPr>
      </w:pPr>
      <w:r>
        <w:rPr>
          <w:rFonts w:hint="eastAsia" w:ascii="宋体" w:hAnsi="宋体"/>
          <w:b/>
          <w:color w:val="auto"/>
          <w:sz w:val="24"/>
          <w:highlight w:val="none"/>
        </w:rPr>
        <w:t xml:space="preserve">合同验收</w:t>
      </w:r>
      <w:r/>
    </w:p>
    <w:p>
      <w:pPr>
        <w:numPr>
          <w:ilvl w:val="0"/>
          <w:numId w:val="2"/>
        </w:numPr>
        <w:ind w:left="0"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验收组织方式：</w:t>
      </w:r>
      <w:r>
        <w:rPr>
          <w:rFonts w:ascii="Wingdings" w:hAnsi="Wingdings" w:eastAsia="Wingdings" w:cs="Wingdings"/>
          <w:color w:val="auto"/>
          <w:sz w:val="24"/>
          <w:highlight w:val="none"/>
        </w:rPr>
        <w:t xml:space="preserve">þ</w:t>
      </w:r>
      <w:r>
        <w:rPr>
          <w:rFonts w:hint="eastAsia" w:ascii="宋体" w:hAnsi="宋体"/>
          <w:bCs/>
          <w:color w:val="auto"/>
          <w:sz w:val="24"/>
          <w:highlight w:val="none"/>
        </w:rPr>
        <w:t xml:space="preserve">自行组织 </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委托第三方组织</w:t>
      </w:r>
      <w:r/>
    </w:p>
    <w:p>
      <w:pPr>
        <w:ind w:left="0" w:firstLine="480"/>
        <w:keepLines w:val="0"/>
        <w:keepNext w:val="0"/>
        <w:pageBreakBefore w:val="0"/>
        <w:spacing w:line="360" w:lineRule="auto"/>
        <w:rPr>
          <w:rFonts w:ascii="宋体" w:hAnsi="宋体" w:cs="宋体"/>
          <w:color w:val="auto"/>
          <w:sz w:val="24"/>
          <w:highlight w:val="none"/>
        </w:rPr>
      </w:pPr>
      <w:r>
        <w:rPr>
          <w:rFonts w:hint="eastAsia" w:ascii="宋体" w:hAnsi="宋体"/>
          <w:bCs/>
          <w:color w:val="auto"/>
          <w:sz w:val="24"/>
          <w:highlight w:val="none"/>
        </w:rPr>
        <w:t xml:space="preserve">验收主体：</w:t>
      </w:r>
      <w:r>
        <w:rPr>
          <w:rFonts w:hint="eastAsia" w:ascii="宋体" w:hAnsi="宋体" w:cs="宋体"/>
          <w:color w:val="auto"/>
          <w:sz w:val="24"/>
          <w:highlight w:val="none"/>
        </w:rPr>
        <w:t xml:space="preserve">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东台市实验小学</w:t>
      </w:r>
      <w:r>
        <w:rPr>
          <w:rFonts w:hint="eastAsia" w:ascii="宋体" w:hAnsi="宋体" w:cs="宋体"/>
          <w:bCs/>
          <w:color w:val="auto"/>
          <w:sz w:val="24"/>
          <w:highlight w:val="none"/>
          <w:u w:val="single"/>
        </w:rPr>
        <w:t xml:space="preserve">       </w:t>
      </w:r>
      <w:r>
        <w:rPr>
          <w:rFonts w:hint="eastAsia" w:ascii="宋体" w:hAnsi="宋体" w:cs="宋体"/>
          <w:color w:val="auto"/>
          <w:sz w:val="24"/>
          <w:highlight w:val="none"/>
        </w:rPr>
        <w:t xml:space="preserve"> </w:t>
      </w:r>
      <w:r/>
    </w:p>
    <w:p>
      <w:pPr>
        <w:ind w:left="0"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是否邀请本项目的其他供应商参加验收：</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是  </w:t>
      </w:r>
      <w:r>
        <w:rPr>
          <w:rFonts w:ascii="Wingdings" w:hAnsi="Wingdings" w:eastAsia="Wingdings" w:cs="Wingdings"/>
          <w:color w:val="auto"/>
          <w:sz w:val="24"/>
          <w:highlight w:val="none"/>
        </w:rPr>
        <w:t xml:space="preserve">þ</w:t>
      </w:r>
      <w:r>
        <w:rPr>
          <w:rFonts w:hint="eastAsia" w:ascii="宋体" w:hAnsi="宋体"/>
          <w:bCs/>
          <w:color w:val="auto"/>
          <w:sz w:val="24"/>
          <w:highlight w:val="none"/>
        </w:rPr>
        <w:t xml:space="preserve">否</w:t>
      </w:r>
      <w:r/>
    </w:p>
    <w:p>
      <w:pPr>
        <w:ind w:left="0"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是否邀请专家参加验收：</w:t>
      </w:r>
      <w:r>
        <w:rPr>
          <w:rFonts w:ascii="Wingdings" w:hAnsi="Wingdings" w:eastAsia="Wingdings" w:cs="Wingdings"/>
          <w:color w:val="auto"/>
          <w:sz w:val="24"/>
          <w:highlight w:val="none"/>
        </w:rPr>
        <w:t xml:space="preserve">þ</w:t>
      </w:r>
      <w:r>
        <w:rPr>
          <w:rFonts w:hint="eastAsia" w:ascii="宋体" w:hAnsi="宋体"/>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否</w:t>
      </w:r>
      <w:r/>
    </w:p>
    <w:p>
      <w:pPr>
        <w:ind w:left="0"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是否邀请服务对象参加验收：</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是  </w:t>
      </w:r>
      <w:r>
        <w:rPr>
          <w:rFonts w:ascii="Wingdings" w:hAnsi="Wingdings" w:eastAsia="Wingdings" w:cs="Wingdings"/>
          <w:color w:val="auto"/>
          <w:sz w:val="24"/>
          <w:highlight w:val="none"/>
        </w:rPr>
        <w:t xml:space="preserve">þ</w:t>
      </w:r>
      <w:r>
        <w:rPr>
          <w:rFonts w:hint="eastAsia" w:ascii="宋体" w:hAnsi="宋体"/>
          <w:bCs/>
          <w:color w:val="auto"/>
          <w:sz w:val="24"/>
          <w:highlight w:val="none"/>
        </w:rPr>
        <w:t xml:space="preserve">否</w:t>
      </w:r>
      <w:r/>
    </w:p>
    <w:p>
      <w:pPr>
        <w:ind w:left="0"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是否邀请第三方检测机构参加验收：</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是  </w:t>
      </w:r>
      <w:r>
        <w:rPr>
          <w:rFonts w:ascii="Wingdings" w:hAnsi="Wingdings" w:eastAsia="Wingdings" w:cs="Wingdings"/>
          <w:color w:val="auto"/>
          <w:sz w:val="24"/>
          <w:highlight w:val="none"/>
        </w:rPr>
        <w:t xml:space="preserve">þ</w:t>
      </w:r>
      <w:r>
        <w:rPr>
          <w:rFonts w:hint="eastAsia" w:ascii="宋体" w:hAnsi="宋体"/>
          <w:bCs/>
          <w:color w:val="auto"/>
          <w:sz w:val="24"/>
          <w:highlight w:val="none"/>
        </w:rPr>
        <w:t xml:space="preserve">否</w:t>
      </w:r>
      <w:r/>
    </w:p>
    <w:p>
      <w:pPr>
        <w:ind w:left="0"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是否进行抽查检测：</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是，抽查比例：</w:t>
      </w:r>
      <w:r>
        <w:rPr>
          <w:rFonts w:ascii="Wingdings" w:hAnsi="Wingdings" w:eastAsia="Wingdings" w:cs="Wingdings"/>
          <w:color w:val="auto"/>
          <w:sz w:val="24"/>
          <w:highlight w:val="none"/>
        </w:rPr>
        <w:t xml:space="preserve">þ</w:t>
      </w:r>
      <w:r>
        <w:rPr>
          <w:rFonts w:hint="eastAsia" w:ascii="宋体" w:hAnsi="宋体"/>
          <w:bCs/>
          <w:color w:val="auto"/>
          <w:sz w:val="24"/>
          <w:highlight w:val="none"/>
        </w:rPr>
        <w:t xml:space="preserve">否</w:t>
      </w:r>
      <w:r/>
    </w:p>
    <w:p>
      <w:pPr>
        <w:ind w:left="0" w:firstLine="480"/>
        <w:keepLines w:val="0"/>
        <w:keepNext w:val="0"/>
        <w:pageBreakBefore w:val="0"/>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是否存在破坏性检测：</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是，</w:t>
      </w:r>
      <w:r>
        <w:rPr>
          <w:rFonts w:hint="eastAsia" w:ascii="宋体" w:hAnsi="宋体"/>
          <w:bCs/>
          <w:color w:val="auto"/>
          <w:sz w:val="24"/>
          <w:highlight w:val="none"/>
          <w:u w:val="single"/>
        </w:rPr>
        <w:t xml:space="preserve">（应明确对被破坏的检测产品的处理方式）</w:t>
      </w:r>
      <w:r/>
    </w:p>
    <w:p>
      <w:pPr>
        <w:ind w:left="0" w:firstLine="480"/>
        <w:keepLines w:val="0"/>
        <w:keepNext w:val="0"/>
        <w:pageBreakBefore w:val="0"/>
        <w:spacing w:line="360" w:lineRule="auto"/>
        <w:rPr>
          <w:rFonts w:ascii="宋体" w:hAnsi="宋体"/>
          <w:bCs/>
          <w:color w:val="auto"/>
          <w:sz w:val="24"/>
          <w:highlight w:val="none"/>
        </w:rPr>
      </w:pPr>
      <w:r>
        <w:rPr>
          <w:rFonts w:ascii="Wingdings" w:hAnsi="Wingdings" w:eastAsia="Wingdings" w:cs="Wingdings"/>
          <w:color w:val="auto"/>
          <w:sz w:val="24"/>
          <w:highlight w:val="none"/>
        </w:rPr>
        <w:t xml:space="preserve">þ</w:t>
      </w:r>
      <w:r>
        <w:rPr>
          <w:rFonts w:hint="eastAsia" w:ascii="宋体" w:hAnsi="宋体"/>
          <w:bCs/>
          <w:color w:val="auto"/>
          <w:sz w:val="24"/>
          <w:highlight w:val="none"/>
        </w:rPr>
        <w:t xml:space="preserve">否</w:t>
      </w:r>
      <w:r/>
    </w:p>
    <w:p>
      <w:pPr>
        <w:ind w:left="0" w:firstLine="480"/>
        <w:keepLines w:val="0"/>
        <w:keepNext w:val="0"/>
        <w:pageBreakBefore w:val="0"/>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验收组织的其他事项：</w:t>
      </w:r>
      <w:r/>
    </w:p>
    <w:p>
      <w:pPr>
        <w:ind w:left="0" w:firstLine="480"/>
        <w:keepLines w:val="0"/>
        <w:keepNext w:val="0"/>
        <w:pageBreakBefore w:val="0"/>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（2）履约验收时间：</w:t>
      </w:r>
      <w:r>
        <w:rPr>
          <w:rFonts w:hint="eastAsia" w:ascii="宋体" w:hAnsi="宋体"/>
          <w:bCs/>
          <w:color w:val="auto"/>
          <w:sz w:val="24"/>
          <w:highlight w:val="none"/>
          <w:u w:val="single"/>
        </w:rPr>
        <w:t xml:space="preserve">供应商提出</w:t>
      </w:r>
      <w:r>
        <w:rPr>
          <w:rFonts w:hint="eastAsia" w:ascii="宋体" w:hAnsi="宋体"/>
          <w:bCs/>
          <w:color w:val="auto"/>
          <w:sz w:val="24"/>
          <w:highlight w:val="none"/>
          <w:u w:val="single"/>
          <w:lang w:val="en-US" w:eastAsia="zh-CN"/>
        </w:rPr>
        <w:t xml:space="preserve">书面</w:t>
      </w:r>
      <w:r>
        <w:rPr>
          <w:rFonts w:hint="eastAsia" w:ascii="宋体" w:hAnsi="宋体"/>
          <w:bCs/>
          <w:color w:val="auto"/>
          <w:sz w:val="24"/>
          <w:highlight w:val="none"/>
          <w:u w:val="single"/>
        </w:rPr>
        <w:t xml:space="preserve">验收申请之日起 </w:t>
      </w:r>
      <w:r>
        <w:rPr>
          <w:rFonts w:hint="eastAsia" w:ascii="宋体" w:hAnsi="宋体"/>
          <w:bCs/>
          <w:color w:val="auto"/>
          <w:sz w:val="24"/>
          <w:highlight w:val="none"/>
          <w:u w:val="single"/>
          <w:lang w:val="en-US" w:eastAsia="zh-CN"/>
        </w:rPr>
        <w:t xml:space="preserve">7 </w:t>
      </w:r>
      <w:r>
        <w:rPr>
          <w:rFonts w:hint="eastAsia" w:ascii="宋体" w:hAnsi="宋体"/>
          <w:bCs/>
          <w:color w:val="auto"/>
          <w:sz w:val="24"/>
          <w:highlight w:val="none"/>
          <w:u w:val="single"/>
        </w:rPr>
        <w:t xml:space="preserve">日内组织验收</w:t>
      </w:r>
      <w:r/>
    </w:p>
    <w:p>
      <w:pPr>
        <w:ind w:left="0"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（3）履约验收方式：</w:t>
      </w:r>
      <w:r>
        <w:rPr>
          <w:rFonts w:ascii="Wingdings" w:hAnsi="Wingdings" w:eastAsia="Wingdings" w:cs="Wingdings"/>
          <w:color w:val="auto"/>
          <w:sz w:val="24"/>
          <w:highlight w:val="none"/>
        </w:rPr>
        <w:t xml:space="preserve">þ</w:t>
      </w:r>
      <w:r>
        <w:rPr>
          <w:rFonts w:hint="eastAsia" w:ascii="宋体" w:hAnsi="宋体"/>
          <w:bCs/>
          <w:color w:val="auto"/>
          <w:sz w:val="24"/>
          <w:highlight w:val="none"/>
        </w:rPr>
        <w:t xml:space="preserve">一次性验收         </w:t>
      </w:r>
      <w:r/>
    </w:p>
    <w:p>
      <w:pPr>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bCs/>
          <w:color w:val="auto"/>
          <w:sz w:val="24"/>
          <w:highlight w:val="none"/>
        </w:rPr>
        <w:t xml:space="preserve">（4）履约</w:t>
      </w:r>
      <w:r>
        <w:rPr>
          <w:rFonts w:hint="eastAsia" w:ascii="宋体" w:hAnsi="宋体" w:eastAsia="宋体" w:cs="宋体"/>
          <w:bCs/>
          <w:color w:val="auto"/>
          <w:sz w:val="24"/>
          <w:szCs w:val="24"/>
          <w:highlight w:val="none"/>
        </w:rPr>
        <w:t xml:space="preserve">验收程序：</w:t>
      </w:r>
      <w:r>
        <w:rPr>
          <w:rFonts w:hint="eastAsia" w:ascii="宋体" w:hAnsi="宋体" w:eastAsia="宋体" w:cs="宋体"/>
          <w:bCs/>
          <w:color w:val="auto"/>
          <w:sz w:val="24"/>
          <w:szCs w:val="24"/>
          <w:highlight w:val="none"/>
          <w:u w:val="single"/>
        </w:rPr>
        <w:t xml:space="preserve">（1）甲方依法组织履约验收工作。（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3）对于实际使用人和甲方分离的项目，甲方邀请实际使用人参与验收。（4）如有必要，甲方邀请参加本项目的其他供应商或第三方专业机构及专家参与验收，相关意见将作为验收书的参考资料。</w:t>
      </w:r>
      <w:r/>
    </w:p>
    <w:p>
      <w:pPr>
        <w:ind w:left="0" w:firstLine="480"/>
        <w:keepLines w:val="0"/>
        <w:keepNext w:val="0"/>
        <w:pageBreakBefore w:val="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（5）履约验收的内容：</w:t>
      </w:r>
      <w:r>
        <w:rPr>
          <w:rFonts w:hint="eastAsia" w:ascii="宋体" w:hAnsi="宋体" w:eastAsia="宋体" w:cs="宋体"/>
          <w:bCs/>
          <w:color w:val="auto"/>
          <w:sz w:val="24"/>
          <w:szCs w:val="24"/>
          <w:highlight w:val="none"/>
          <w:u w:val="single"/>
        </w:rPr>
        <w:t xml:space="preserve">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firstLine="480"/>
        <w:keepLines w:val="0"/>
        <w:keepNext w:val="0"/>
        <w:pageBreakBefore w:val="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（6）履约验收标准：</w:t>
      </w:r>
      <w:r>
        <w:rPr>
          <w:rFonts w:hint="eastAsia" w:ascii="宋体" w:hAnsi="宋体" w:eastAsia="宋体" w:cs="宋体"/>
          <w:bCs/>
          <w:color w:val="auto"/>
          <w:sz w:val="24"/>
          <w:szCs w:val="24"/>
          <w:highlight w:val="none"/>
          <w:u w:val="single"/>
        </w:rPr>
        <w:t xml:space="preserve">乙方在交货时，货物的品牌型号必须与投标报价单保持一致，必须保证品牌正宗，原始包装并附有合格证、产品安装使用说明书等相关资料。特殊情况需要调整品牌型号数量的，甲乙双方协商后须报东台市财政局同意后方可调整。</w:t>
      </w:r>
      <w:r/>
    </w:p>
    <w:p>
      <w:pPr>
        <w:pStyle w:val="891"/>
        <w:ind w:firstLine="480"/>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u w:val="single"/>
        </w:rPr>
        <w:t xml:space="preserve">验收标准具体如下：</w:t>
      </w:r>
      <w:r/>
    </w:p>
    <w:p>
      <w:pPr>
        <w:ind w:left="0" w:firstLine="480"/>
        <w:keepLines w:val="0"/>
        <w:keepNext w:val="0"/>
        <w:pageBreakBefore w:val="0"/>
        <w:spacing w:line="360" w:lineRule="auto"/>
        <w:rPr>
          <w:rFonts w:hint="eastAsia" w:ascii="宋体" w:hAnsi="宋体"/>
          <w:bCs/>
          <w:color w:val="auto"/>
          <w:sz w:val="24"/>
          <w:highlight w:val="none"/>
        </w:rPr>
      </w:pPr>
      <w:r>
        <w:rPr>
          <w:rFonts w:hint="eastAsia" w:ascii="宋体" w:hAnsi="宋体" w:eastAsia="宋体" w:cs="宋体"/>
          <w:bCs/>
          <w:color w:val="auto"/>
          <w:sz w:val="24"/>
          <w:szCs w:val="24"/>
          <w:highlight w:val="none"/>
        </w:rPr>
        <w:t xml:space="preserve">A、产品为全新，未使用过的原装合格正品，安装质量符合各项技术标准和国家强制性</w:t>
      </w:r>
      <w:r>
        <w:rPr>
          <w:rFonts w:hint="eastAsia" w:ascii="宋体" w:hAnsi="宋体"/>
          <w:bCs/>
          <w:color w:val="auto"/>
          <w:sz w:val="24"/>
          <w:highlight w:val="none"/>
        </w:rPr>
        <w:t xml:space="preserve">标准；</w:t>
      </w:r>
      <w:r/>
    </w:p>
    <w:p>
      <w:pPr>
        <w:ind w:left="0" w:firstLine="480"/>
        <w:keepLines w:val="0"/>
        <w:keepNext w:val="0"/>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B、货物到达现场后，乙方必须在使用单位人员在场情况下当面开箱，共同清点、检查外观，箱记录，双方签字确认。</w:t>
      </w:r>
      <w:r/>
    </w:p>
    <w:p>
      <w:pPr>
        <w:ind w:left="0" w:firstLine="480"/>
        <w:keepLines w:val="0"/>
        <w:keepNext w:val="0"/>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C、乙方应保证货物到达甲方所在地完好无损，如有缺漏、损坏，由乙方负责调换、补齐或赔偿。</w:t>
      </w:r>
      <w:r/>
    </w:p>
    <w:p>
      <w:pPr>
        <w:ind w:left="0" w:firstLine="480"/>
        <w:keepLines w:val="0"/>
        <w:keepNext w:val="0"/>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D、乙方应提供完备的技术资料、装箱单和合格证等，验收合格条件（标准）如下：</w:t>
      </w:r>
      <w:r/>
    </w:p>
    <w:p>
      <w:pPr>
        <w:ind w:left="0" w:firstLine="480"/>
        <w:keepLines w:val="0"/>
        <w:keepNext w:val="0"/>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①设备技术参数与采购合同一致，性能指标达到规定的标准。</w:t>
      </w:r>
      <w:r/>
    </w:p>
    <w:p>
      <w:pPr>
        <w:ind w:left="0" w:firstLine="480"/>
        <w:keepLines w:val="0"/>
        <w:keepNext w:val="0"/>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②货物技术资料、装箱单、合格证等资料齐全。</w:t>
      </w:r>
      <w:r/>
    </w:p>
    <w:p>
      <w:pPr>
        <w:ind w:left="0" w:firstLine="480"/>
        <w:keepLines w:val="0"/>
        <w:keepNext w:val="0"/>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③在系统试运行期间所出现的问题得到解决，并运行正常。</w:t>
      </w:r>
      <w:r/>
    </w:p>
    <w:p>
      <w:pPr>
        <w:ind w:left="0" w:firstLine="480"/>
        <w:keepLines w:val="0"/>
        <w:keepNext w:val="0"/>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④在规定时间内完成交货并验收，并经甲方确认。</w:t>
      </w:r>
      <w:r/>
    </w:p>
    <w:p>
      <w:pPr>
        <w:ind w:left="0" w:firstLine="480"/>
        <w:keepLines w:val="0"/>
        <w:keepNext w:val="0"/>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E、乙方须完成甲方所有采购的软硬件产品安装调试工作，须符合甲方要求并试运行1个月后，才作为最终验收。</w:t>
      </w:r>
      <w:r/>
    </w:p>
    <w:p>
      <w:pPr>
        <w:ind w:left="0"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bCs/>
          <w:color w:val="auto"/>
          <w:sz w:val="24"/>
          <w:highlight w:val="none"/>
        </w:rPr>
        <w:t xml:space="preserve">F、乙方提供的货物未达到采购文件规定要求，且对甲方造成损失的，由乙方承担一切责</w:t>
      </w:r>
      <w:r>
        <w:rPr>
          <w:rFonts w:hint="eastAsia" w:ascii="宋体" w:hAnsi="宋体" w:eastAsia="宋体" w:cs="宋体"/>
          <w:bCs/>
          <w:color w:val="auto"/>
          <w:sz w:val="24"/>
          <w:highlight w:val="none"/>
        </w:rPr>
        <w:t xml:space="preserve">任，并赔偿所造成的损失。</w:t>
      </w:r>
      <w:r/>
    </w:p>
    <w:p>
      <w:pPr>
        <w:ind w:left="0"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G、甲方可邀请国家认可的质量检测机构参加验收工作。</w:t>
      </w:r>
      <w:r/>
    </w:p>
    <w:p>
      <w:pPr>
        <w:ind w:left="0"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H、甲方需要制造商对乙方交付的产品（包括质量、技术参数等）进行确认的，乙方须无条件配合，并出具书面确认证明。</w:t>
      </w:r>
      <w:r/>
    </w:p>
    <w:p>
      <w:pPr>
        <w:ind w:left="0"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lang w:val="en-US" w:eastAsia="zh-CN"/>
        </w:rPr>
        <w:t xml:space="preserve">I</w:t>
      </w:r>
      <w:r>
        <w:rPr>
          <w:rFonts w:hint="eastAsia" w:ascii="宋体" w:hAnsi="宋体" w:eastAsia="宋体" w:cs="宋体"/>
          <w:bCs/>
          <w:color w:val="auto"/>
          <w:sz w:val="24"/>
          <w:highlight w:val="none"/>
        </w:rPr>
        <w:t xml:space="preserve">、产品包装材料归甲方所有。</w:t>
      </w:r>
      <w:r/>
    </w:p>
    <w:p>
      <w:pPr>
        <w:ind w:left="0"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（7）是否以采购活动中供应商提供的样品作为参考：</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highlight w:val="none"/>
        </w:rPr>
        <w:t xml:space="preserve">是  </w:t>
      </w:r>
      <w:r>
        <w:rPr>
          <w:rFonts w:ascii="Wingdings" w:hAnsi="Wingdings" w:eastAsia="Wingdings" w:cs="Wingdings"/>
          <w:color w:val="auto"/>
          <w:sz w:val="24"/>
          <w:highlight w:val="none"/>
        </w:rPr>
        <w:t xml:space="preserve">þ</w:t>
      </w:r>
      <w:r>
        <w:rPr>
          <w:rFonts w:hint="eastAsia" w:ascii="宋体" w:hAnsi="宋体" w:eastAsia="宋体" w:cs="宋体"/>
          <w:bCs/>
          <w:color w:val="auto"/>
          <w:sz w:val="24"/>
          <w:highlight w:val="none"/>
        </w:rPr>
        <w:t xml:space="preserve">否</w:t>
      </w:r>
      <w:r/>
    </w:p>
    <w:p>
      <w:pPr>
        <w:ind w:firstLine="480"/>
        <w:keepLines w:val="0"/>
        <w:keepNext w:val="0"/>
        <w:pageBreakBefore w:val="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highlight w:val="none"/>
        </w:rPr>
        <w:t xml:space="preserve">（8）履约验收其他事项：</w:t>
      </w:r>
      <w:r>
        <w:rPr>
          <w:rFonts w:hint="eastAsia" w:ascii="宋体" w:hAnsi="宋体" w:eastAsia="宋体" w:cs="宋体"/>
          <w:bCs/>
          <w:color w:val="auto"/>
          <w:sz w:val="24"/>
          <w:szCs w:val="24"/>
          <w:highlight w:val="none"/>
          <w:u w:val="single"/>
        </w:rPr>
        <w:t xml:space="preserve">本项目涉及政策法规要求办理的相关证件，由乙方负责资料收集和整理工作，并积极协助甲方报送办理相关手续，直至取得使用许可，否则甲方有权暂停支付合同价款。</w:t>
      </w:r>
      <w:r/>
    </w:p>
    <w:p>
      <w:pPr>
        <w:numPr>
          <w:ilvl w:val="0"/>
          <w:numId w:val="1"/>
        </w:numPr>
        <w:ind w:left="0" w:firstLine="482"/>
        <w:keepLines w:val="0"/>
        <w:keepNext w:val="0"/>
        <w:pageBreakBefore w:val="0"/>
        <w:spacing w:line="360" w:lineRule="auto"/>
        <w:rPr>
          <w:rFonts w:ascii="宋体" w:hAnsi="宋体"/>
          <w:b/>
          <w:color w:val="auto"/>
          <w:sz w:val="24"/>
          <w:highlight w:val="none"/>
        </w:rPr>
      </w:pPr>
      <w:r>
        <w:rPr>
          <w:rFonts w:hint="eastAsia" w:ascii="宋体" w:hAnsi="宋体"/>
          <w:b/>
          <w:color w:val="auto"/>
          <w:sz w:val="24"/>
          <w:highlight w:val="none"/>
        </w:rPr>
        <w:t xml:space="preserve">组成合同的文件</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本协议书与下列文件一起构成合同文件，如下述文件之间有任何抵触、矛盾或歧义，应按以下顺序解释：</w:t>
      </w:r>
      <w:r/>
    </w:p>
    <w:p>
      <w:pPr>
        <w:ind w:lef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（1）政府采购合同协议书及其变更、补充协议</w:t>
      </w:r>
      <w:r/>
    </w:p>
    <w:p>
      <w:pPr>
        <w:ind w:lef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（2）政府采购合同专用条款</w:t>
      </w:r>
      <w:r/>
    </w:p>
    <w:p>
      <w:pPr>
        <w:ind w:lef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（3）政府采购合同通用条款</w:t>
      </w:r>
      <w:r/>
    </w:p>
    <w:p>
      <w:pPr>
        <w:ind w:lef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（4）中标（成交）通知书</w:t>
      </w:r>
      <w:r/>
    </w:p>
    <w:p>
      <w:pPr>
        <w:ind w:lef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（5）投标（响应）文件</w:t>
      </w:r>
      <w:r/>
    </w:p>
    <w:p>
      <w:pPr>
        <w:ind w:lef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（6）采购文件</w:t>
      </w:r>
      <w:r/>
    </w:p>
    <w:p>
      <w:pPr>
        <w:ind w:lef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（7）有关技术文件，图纸</w:t>
      </w:r>
      <w:r/>
    </w:p>
    <w:p>
      <w:pPr>
        <w:ind w:lef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（8）国家法律、行政法规和规章制度规定或合同约定的作为合同组成部分的其他文件</w:t>
      </w:r>
      <w:r/>
    </w:p>
    <w:p>
      <w:pPr>
        <w:ind w:left="0" w:firstLine="422"/>
        <w:keepLines w:val="0"/>
        <w:keepNext w:val="0"/>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6.</w:t>
      </w:r>
      <w:r>
        <w:rPr>
          <w:rFonts w:hint="eastAsia" w:ascii="宋体" w:hAnsi="宋体"/>
          <w:b/>
          <w:color w:val="auto"/>
          <w:sz w:val="24"/>
          <w:highlight w:val="none"/>
        </w:rPr>
        <w:t xml:space="preserve">合同生效</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本合同自</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日生效。</w:t>
      </w:r>
      <w:r/>
    </w:p>
    <w:p>
      <w:pPr>
        <w:ind w:left="0" w:firstLine="482"/>
        <w:keepLines w:val="0"/>
        <w:keepNext w:val="0"/>
        <w:pageBreakBefore w:val="0"/>
        <w:spacing w:line="360" w:lineRule="auto"/>
        <w:rPr>
          <w:rFonts w:ascii="宋体" w:hAnsi="宋体"/>
          <w:b/>
          <w:color w:val="auto"/>
          <w:sz w:val="24"/>
          <w:highlight w:val="none"/>
        </w:rPr>
      </w:pPr>
      <w:r>
        <w:rPr>
          <w:rFonts w:hint="eastAsia" w:ascii="宋体" w:hAnsi="宋体"/>
          <w:b/>
          <w:color w:val="auto"/>
          <w:sz w:val="24"/>
          <w:highlight w:val="none"/>
        </w:rPr>
        <w:t xml:space="preserve">7.合同份数</w:t>
      </w:r>
      <w:r/>
    </w:p>
    <w:p>
      <w:pPr>
        <w:ind w:left="0" w:firstLine="420"/>
        <w:keepLines w:val="0"/>
        <w:keepNext w:val="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份，甲方执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份，乙方执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份，均具有同等法律效力。</w:t>
      </w:r>
      <w:r/>
    </w:p>
    <w:p>
      <w:pPr>
        <w:ind w:left="0" w:firstLine="420"/>
        <w:keepLines w:val="0"/>
        <w:keepNext w:val="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left="0" w:firstLine="420"/>
        <w:keepLines w:val="0"/>
        <w:keepNext w:val="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合同订立地点：</w:t>
      </w:r>
      <w:r>
        <w:rPr>
          <w:rFonts w:hint="eastAsia" w:ascii="宋体" w:hAnsi="宋体"/>
          <w:color w:val="auto"/>
          <w:szCs w:val="21"/>
          <w:highlight w:val="none"/>
          <w:u w:val="single"/>
        </w:rPr>
        <w:t xml:space="preserve">                           </w:t>
      </w:r>
      <w:r/>
    </w:p>
    <w:p>
      <w:pPr>
        <w:ind w:left="0" w:firstLine="420"/>
        <w:keepLines w:val="0"/>
        <w:keepNext w:val="0"/>
        <w:pageBreakBefore w:val="0"/>
        <w:spacing w:line="360" w:lineRule="auto"/>
        <w:rPr>
          <w:color w:val="auto"/>
          <w:highlight w:val="none"/>
        </w:rPr>
      </w:pPr>
      <w:r>
        <w:rPr>
          <w:rFonts w:hint="eastAsia" w:ascii="宋体" w:hAnsi="宋体"/>
          <w:color w:val="auto"/>
          <w:szCs w:val="21"/>
          <w:highlight w:val="none"/>
        </w:rPr>
        <w:t xml:space="preserve">附件：具体标的及其技术要求和商务要求、联合协议、分包意向协议等。</w:t>
      </w:r>
      <w:r/>
    </w:p>
    <w:tbl>
      <w:tblPr>
        <w:tblStyle w:val="715"/>
        <w:tblW w:w="4918"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206"/>
        <w:gridCol w:w="2814"/>
        <w:gridCol w:w="2308"/>
        <w:gridCol w:w="2471"/>
      </w:tblGrid>
      <w:tr>
        <w:trPr>
          <w:trHeight w:val="685"/>
        </w:trPr>
        <w:tc>
          <w:tcPr>
            <w:gridSpan w:val="2"/>
            <w:tcBorders>
              <w:bottom w:val="single" w:color="000000" w:sz="2" w:space="0"/>
              <w:right w:val="single" w:color="000000" w:sz="2" w:space="0"/>
            </w:tcBorders>
            <w:tcW w:w="5020" w:type="dxa"/>
            <w:vAlign w:val="center"/>
            <w:textDirection w:val="lrTb"/>
            <w:noWrap w:val="false"/>
          </w:tcPr>
          <w:p>
            <w:pPr>
              <w:jc w:val="center"/>
              <w:spacing w:line="240" w:lineRule="auto"/>
              <w:rPr>
                <w:color w:val="auto"/>
                <w:sz w:val="24"/>
                <w:highlight w:val="none"/>
              </w:rPr>
            </w:pPr>
            <w:r>
              <w:rPr>
                <w:color w:val="auto"/>
                <w:sz w:val="24"/>
                <w:highlight w:val="none"/>
              </w:rPr>
              <w:t xml:space="preserve">甲方</w:t>
            </w:r>
            <w:r>
              <w:rPr>
                <w:rFonts w:hint="eastAsia"/>
                <w:color w:val="auto"/>
                <w:sz w:val="24"/>
                <w:highlight w:val="none"/>
              </w:rPr>
              <w:t xml:space="preserve">（采购人</w:t>
            </w:r>
            <w:r>
              <w:rPr>
                <w:rFonts w:hint="eastAsia" w:ascii="宋体" w:hAnsi="宋体"/>
                <w:color w:val="auto"/>
                <w:sz w:val="24"/>
                <w:highlight w:val="none"/>
              </w:rPr>
              <w:t xml:space="preserve">、受采购人委托签订合同的单位或</w:t>
            </w:r>
            <w:r>
              <w:rPr>
                <w:rFonts w:hint="eastAsia"/>
                <w:color w:val="auto"/>
                <w:sz w:val="24"/>
                <w:highlight w:val="none"/>
              </w:rPr>
              <w:t xml:space="preserve">采购文件约定的合同甲方）</w:t>
            </w:r>
            <w:r/>
          </w:p>
        </w:tc>
        <w:tc>
          <w:tcPr>
            <w:gridSpan w:val="2"/>
            <w:tcBorders>
              <w:left w:val="single" w:color="000000" w:sz="2" w:space="0"/>
              <w:bottom w:val="single" w:color="000000" w:sz="2" w:space="0"/>
            </w:tcBorders>
            <w:tcW w:w="4779" w:type="dxa"/>
            <w:vAlign w:val="center"/>
            <w:textDirection w:val="lrTb"/>
            <w:noWrap w:val="false"/>
          </w:tcPr>
          <w:p>
            <w:pPr>
              <w:jc w:val="center"/>
              <w:spacing w:line="240" w:lineRule="auto"/>
              <w:rPr>
                <w:color w:val="auto"/>
                <w:sz w:val="24"/>
                <w:highlight w:val="none"/>
              </w:rPr>
            </w:pPr>
            <w:r>
              <w:rPr>
                <w:color w:val="auto"/>
                <w:sz w:val="24"/>
                <w:highlight w:val="none"/>
              </w:rPr>
              <w:t xml:space="preserve">乙方</w:t>
            </w:r>
            <w:r>
              <w:rPr>
                <w:rFonts w:hint="eastAsia"/>
                <w:color w:val="auto"/>
                <w:sz w:val="24"/>
                <w:highlight w:val="none"/>
              </w:rPr>
              <w:t xml:space="preserve">（供应商）</w:t>
            </w:r>
            <w:r/>
          </w:p>
        </w:tc>
      </w:tr>
      <w:tr>
        <w:trPr>
          <w:trHeight w:val="680"/>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spacing w:line="240" w:lineRule="auto"/>
              <w:rPr>
                <w:color w:val="auto"/>
                <w:sz w:val="24"/>
                <w:highlight w:val="none"/>
              </w:rPr>
            </w:pPr>
            <w:r>
              <w:rPr>
                <w:color w:val="auto"/>
                <w:sz w:val="24"/>
                <w:highlight w:val="none"/>
              </w:rPr>
              <w:t xml:space="preserve">单位名称</w:t>
            </w:r>
            <w:r>
              <w:rPr>
                <w:rFonts w:hint="eastAsia"/>
                <w:color w:val="auto"/>
                <w:sz w:val="24"/>
                <w:highlight w:val="none"/>
              </w:rPr>
              <w:t xml:space="preserve">（公章或合同章）</w:t>
            </w: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spacing w:line="24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spacing w:line="240" w:lineRule="auto"/>
              <w:rPr>
                <w:color w:val="auto"/>
                <w:sz w:val="24"/>
                <w:highlight w:val="none"/>
              </w:rPr>
            </w:pPr>
            <w:r>
              <w:rPr>
                <w:color w:val="auto"/>
                <w:sz w:val="24"/>
                <w:highlight w:val="none"/>
              </w:rPr>
              <w:t xml:space="preserve">单位名称</w:t>
            </w:r>
            <w:r>
              <w:rPr>
                <w:rFonts w:hint="eastAsia"/>
                <w:color w:val="auto"/>
                <w:sz w:val="24"/>
                <w:highlight w:val="none"/>
              </w:rPr>
              <w:t xml:space="preserve">（公章或合同章）</w:t>
            </w: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spacing w:line="240" w:lineRule="auto"/>
              <w:rPr>
                <w:color w:val="auto"/>
                <w:spacing w:val="20"/>
                <w:sz w:val="24"/>
                <w:highlight w:val="none"/>
              </w:rPr>
            </w:pPr>
            <w:r>
              <w:rPr>
                <w:color w:val="auto"/>
                <w:spacing w:val="20"/>
                <w:sz w:val="24"/>
                <w:highlight w:val="none"/>
              </w:rPr>
            </w:r>
            <w:r/>
          </w:p>
        </w:tc>
      </w:tr>
      <w:tr>
        <w:trPr>
          <w:cantSplit/>
          <w:trHeight w:val="1016"/>
        </w:trPr>
        <w:tc>
          <w:tcPr>
            <w:tcBorders>
              <w:top w:val="single" w:color="000000" w:sz="2" w:space="0"/>
              <w:right w:val="single" w:color="000000" w:sz="2" w:space="0"/>
            </w:tcBorders>
            <w:tcW w:w="2206" w:type="dxa"/>
            <w:vAlign w:val="center"/>
            <w:vMerge w:val="restart"/>
            <w:textDirection w:val="lrTb"/>
            <w:noWrap w:val="false"/>
          </w:tcPr>
          <w:p>
            <w:pPr>
              <w:jc w:val="center"/>
              <w:spacing w:line="240" w:lineRule="auto"/>
              <w:rPr>
                <w:color w:val="auto"/>
                <w:sz w:val="24"/>
                <w:highlight w:val="none"/>
              </w:rPr>
            </w:pPr>
            <w:r>
              <w:rPr>
                <w:color w:val="auto"/>
                <w:sz w:val="24"/>
                <w:highlight w:val="none"/>
              </w:rPr>
              <w:t xml:space="preserve">法定代表人</w:t>
            </w:r>
            <w:r/>
          </w:p>
          <w:p>
            <w:pPr>
              <w:ind w:firstLine="115"/>
              <w:jc w:val="center"/>
              <w:spacing w:line="240" w:lineRule="auto"/>
              <w:rPr>
                <w:color w:val="auto"/>
                <w:sz w:val="24"/>
                <w:highlight w:val="none"/>
              </w:rPr>
            </w:pPr>
            <w:r>
              <w:rPr>
                <w:rFonts w:hint="eastAsia"/>
                <w:color w:val="auto"/>
                <w:sz w:val="24"/>
                <w:highlight w:val="none"/>
              </w:rPr>
              <w:t xml:space="preserve">或其</w:t>
            </w:r>
            <w:r>
              <w:rPr>
                <w:color w:val="auto"/>
                <w:sz w:val="24"/>
                <w:highlight w:val="none"/>
              </w:rPr>
              <w:t xml:space="preserve">委托代理人</w:t>
            </w:r>
            <w:r>
              <w:rPr>
                <w:rFonts w:hint="eastAsia"/>
                <w:color w:val="auto"/>
                <w:sz w:val="24"/>
                <w:highlight w:val="none"/>
              </w:rPr>
              <w:t xml:space="preserve">（签章）</w:t>
            </w:r>
            <w:r/>
          </w:p>
        </w:tc>
        <w:tc>
          <w:tcPr>
            <w:tcBorders>
              <w:top w:val="single" w:color="000000" w:sz="2" w:space="0"/>
              <w:left w:val="single" w:color="000000" w:sz="2" w:space="0"/>
              <w:right w:val="single" w:color="000000" w:sz="2" w:space="0"/>
            </w:tcBorders>
            <w:tcW w:w="2814" w:type="dxa"/>
            <w:vAlign w:val="center"/>
            <w:vMerge w:val="restart"/>
            <w:textDirection w:val="lrTb"/>
            <w:noWrap w:val="false"/>
          </w:tcPr>
          <w:p>
            <w:pPr>
              <w:jc w:val="center"/>
              <w:spacing w:line="240" w:lineRule="auto"/>
              <w:rPr>
                <w:color w:val="auto"/>
                <w:sz w:val="24"/>
                <w:highlight w:val="none"/>
              </w:rPr>
            </w:pPr>
            <w:r>
              <w:rPr>
                <w:color w:val="auto"/>
                <w:sz w:val="24"/>
                <w:highlight w:val="none"/>
              </w:rPr>
            </w:r>
            <w:r/>
          </w:p>
        </w:tc>
        <w:tc>
          <w:tcPr>
            <w:tcBorders>
              <w:top w:val="single" w:color="000000" w:sz="2" w:space="0"/>
              <w:left w:val="single" w:color="000000" w:sz="2" w:space="0"/>
              <w:right w:val="single" w:color="000000" w:sz="2" w:space="0"/>
            </w:tcBorders>
            <w:tcW w:w="2308" w:type="dxa"/>
            <w:vAlign w:val="center"/>
            <w:textDirection w:val="lrTb"/>
            <w:noWrap w:val="false"/>
          </w:tcPr>
          <w:p>
            <w:pPr>
              <w:jc w:val="center"/>
              <w:spacing w:line="240" w:lineRule="auto"/>
              <w:rPr>
                <w:color w:val="auto"/>
                <w:sz w:val="24"/>
                <w:highlight w:val="none"/>
              </w:rPr>
            </w:pPr>
            <w:r>
              <w:rPr>
                <w:color w:val="auto"/>
                <w:sz w:val="24"/>
                <w:highlight w:val="none"/>
              </w:rPr>
              <w:t xml:space="preserve">法定代表人</w:t>
            </w:r>
            <w:r/>
          </w:p>
          <w:p>
            <w:pPr>
              <w:jc w:val="center"/>
              <w:spacing w:line="240" w:lineRule="auto"/>
              <w:rPr>
                <w:color w:val="auto"/>
                <w:sz w:val="24"/>
                <w:highlight w:val="none"/>
              </w:rPr>
            </w:pPr>
            <w:r>
              <w:rPr>
                <w:rFonts w:hint="eastAsia"/>
                <w:color w:val="auto"/>
                <w:sz w:val="24"/>
                <w:highlight w:val="none"/>
              </w:rPr>
              <w:t xml:space="preserve">或其</w:t>
            </w:r>
            <w:r>
              <w:rPr>
                <w:color w:val="auto"/>
                <w:sz w:val="24"/>
                <w:highlight w:val="none"/>
              </w:rPr>
              <w:t xml:space="preserve">委托代理人</w:t>
            </w:r>
            <w:r>
              <w:rPr>
                <w:rFonts w:hint="eastAsia"/>
                <w:color w:val="auto"/>
                <w:sz w:val="24"/>
                <w:highlight w:val="none"/>
              </w:rPr>
              <w:t xml:space="preserve">（签章）</w:t>
            </w: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spacing w:line="240" w:lineRule="auto"/>
              <w:rPr>
                <w:color w:val="auto"/>
                <w:sz w:val="24"/>
                <w:highlight w:val="none"/>
              </w:rPr>
            </w:pPr>
            <w:r>
              <w:rPr>
                <w:color w:val="auto"/>
                <w:sz w:val="24"/>
                <w:highlight w:val="none"/>
              </w:rPr>
            </w:r>
            <w:r/>
          </w:p>
        </w:tc>
      </w:tr>
      <w:tr>
        <w:trPr>
          <w:cantSplit/>
          <w:trHeight w:val="363"/>
        </w:trPr>
        <w:tc>
          <w:tcPr>
            <w:tcBorders>
              <w:bottom w:val="single" w:color="000000" w:sz="2" w:space="0"/>
              <w:right w:val="single" w:color="000000" w:sz="2" w:space="0"/>
            </w:tcBorders>
            <w:tcW w:w="2206" w:type="dxa"/>
            <w:vAlign w:val="center"/>
            <w:vMerge w:val="continue"/>
            <w:textDirection w:val="lrTb"/>
            <w:noWrap w:val="false"/>
          </w:tcPr>
          <w:p>
            <w:pPr>
              <w:jc w:val="center"/>
              <w:spacing w:line="240" w:lineRule="auto"/>
              <w:rPr>
                <w:color w:val="auto"/>
                <w:sz w:val="24"/>
                <w:highlight w:val="none"/>
              </w:rPr>
            </w:pPr>
            <w:r>
              <w:rPr>
                <w:color w:val="auto"/>
                <w:sz w:val="24"/>
                <w:highlight w:val="none"/>
              </w:rPr>
            </w:r>
            <w:r/>
          </w:p>
        </w:tc>
        <w:tc>
          <w:tcPr>
            <w:tcBorders>
              <w:left w:val="single" w:color="000000" w:sz="2" w:space="0"/>
              <w:bottom w:val="single" w:color="000000" w:sz="2" w:space="0"/>
              <w:right w:val="single" w:color="000000" w:sz="2" w:space="0"/>
            </w:tcBorders>
            <w:tcW w:w="2814" w:type="dxa"/>
            <w:vAlign w:val="center"/>
            <w:vMerge w:val="continue"/>
            <w:textDirection w:val="lrTb"/>
            <w:noWrap w:val="false"/>
          </w:tcPr>
          <w:p>
            <w:pPr>
              <w:jc w:val="center"/>
              <w:spacing w:line="24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spacing w:line="240" w:lineRule="auto"/>
              <w:rPr>
                <w:color w:val="auto"/>
                <w:sz w:val="24"/>
                <w:highlight w:val="none"/>
              </w:rPr>
            </w:pPr>
            <w:r>
              <w:rPr>
                <w:rFonts w:hint="eastAsia"/>
                <w:color w:val="auto"/>
                <w:sz w:val="24"/>
                <w:highlight w:val="none"/>
              </w:rPr>
              <w:t xml:space="preserve">拥有者性别</w:t>
            </w: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spacing w:line="240" w:lineRule="auto"/>
              <w:rPr>
                <w:color w:val="auto"/>
                <w:spacing w:val="20"/>
                <w:sz w:val="24"/>
                <w:highlight w:val="none"/>
              </w:rPr>
            </w:pPr>
            <w:r>
              <w:rPr>
                <w:color w:val="auto"/>
                <w:spacing w:val="20"/>
                <w:sz w:val="24"/>
                <w:highlight w:val="none"/>
              </w:rPr>
            </w:r>
            <w:r/>
          </w:p>
        </w:tc>
      </w:tr>
      <w:tr>
        <w:trPr>
          <w:trHeight w:val="363"/>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spacing w:line="240" w:lineRule="auto"/>
              <w:rPr>
                <w:color w:val="auto"/>
                <w:sz w:val="24"/>
                <w:highlight w:val="none"/>
              </w:rPr>
            </w:pPr>
            <w:r>
              <w:rPr>
                <w:rFonts w:hint="eastAsia"/>
                <w:color w:val="auto"/>
                <w:sz w:val="24"/>
                <w:highlight w:val="none"/>
              </w:rPr>
              <w:t xml:space="preserve">住所</w:t>
            </w: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spacing w:line="24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spacing w:line="240" w:lineRule="auto"/>
              <w:rPr>
                <w:color w:val="auto"/>
                <w:sz w:val="24"/>
                <w:highlight w:val="none"/>
              </w:rPr>
            </w:pPr>
            <w:r>
              <w:rPr>
                <w:rFonts w:hint="eastAsia"/>
                <w:color w:val="auto"/>
                <w:sz w:val="24"/>
                <w:highlight w:val="none"/>
              </w:rPr>
              <w:t xml:space="preserve">住所</w:t>
            </w: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spacing w:line="240" w:lineRule="auto"/>
              <w:rPr>
                <w:color w:val="auto"/>
                <w:spacing w:val="20"/>
                <w:sz w:val="24"/>
                <w:highlight w:val="none"/>
              </w:rPr>
            </w:pPr>
            <w:r>
              <w:rPr>
                <w:color w:val="auto"/>
                <w:spacing w:val="20"/>
                <w:sz w:val="24"/>
                <w:highlight w:val="none"/>
              </w:rPr>
            </w:r>
            <w:r/>
          </w:p>
        </w:tc>
      </w:tr>
      <w:tr>
        <w:trPr>
          <w:trHeight w:val="363"/>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spacing w:line="240" w:lineRule="auto"/>
              <w:rPr>
                <w:color w:val="auto"/>
                <w:sz w:val="24"/>
                <w:highlight w:val="none"/>
              </w:rPr>
            </w:pPr>
            <w:r>
              <w:rPr>
                <w:color w:val="auto"/>
                <w:sz w:val="24"/>
                <w:highlight w:val="none"/>
              </w:rPr>
              <w:t xml:space="preserve">联 系 人</w:t>
            </w: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spacing w:line="24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spacing w:line="240" w:lineRule="auto"/>
              <w:rPr>
                <w:color w:val="auto"/>
                <w:sz w:val="24"/>
                <w:highlight w:val="none"/>
              </w:rPr>
            </w:pPr>
            <w:r>
              <w:rPr>
                <w:color w:val="auto"/>
                <w:sz w:val="24"/>
                <w:highlight w:val="none"/>
              </w:rPr>
              <w:t xml:space="preserve">联 系 人</w:t>
            </w: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spacing w:line="240" w:lineRule="auto"/>
              <w:rPr>
                <w:color w:val="auto"/>
                <w:spacing w:val="20"/>
                <w:sz w:val="24"/>
                <w:highlight w:val="none"/>
              </w:rPr>
            </w:pPr>
            <w:r>
              <w:rPr>
                <w:color w:val="auto"/>
                <w:spacing w:val="20"/>
                <w:sz w:val="24"/>
                <w:highlight w:val="none"/>
              </w:rPr>
            </w:r>
            <w:r/>
          </w:p>
        </w:tc>
      </w:tr>
      <w:tr>
        <w:trPr>
          <w:trHeight w:val="363"/>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spacing w:line="240" w:lineRule="auto"/>
              <w:rPr>
                <w:color w:val="auto"/>
                <w:sz w:val="24"/>
                <w:highlight w:val="none"/>
              </w:rPr>
            </w:pPr>
            <w:r>
              <w:rPr>
                <w:color w:val="auto"/>
                <w:sz w:val="24"/>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spacing w:line="24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spacing w:line="240" w:lineRule="auto"/>
              <w:rPr>
                <w:color w:val="auto"/>
                <w:sz w:val="24"/>
                <w:highlight w:val="none"/>
              </w:rPr>
            </w:pPr>
            <w:r>
              <w:rPr>
                <w:color w:val="auto"/>
                <w:sz w:val="24"/>
                <w:highlight w:val="none"/>
              </w:rPr>
              <w:t xml:space="preserve">联系电话</w:t>
            </w: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spacing w:line="240" w:lineRule="auto"/>
              <w:rPr>
                <w:color w:val="auto"/>
                <w:spacing w:val="20"/>
                <w:sz w:val="24"/>
                <w:highlight w:val="none"/>
              </w:rPr>
            </w:pPr>
            <w:r>
              <w:rPr>
                <w:color w:val="auto"/>
                <w:spacing w:val="20"/>
                <w:sz w:val="24"/>
                <w:highlight w:val="none"/>
              </w:rPr>
            </w:r>
            <w:r/>
          </w:p>
        </w:tc>
      </w:tr>
      <w:tr>
        <w:trPr>
          <w:trHeight w:val="363"/>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spacing w:line="240" w:lineRule="auto"/>
              <w:rPr>
                <w:color w:val="auto"/>
                <w:sz w:val="24"/>
                <w:highlight w:val="none"/>
              </w:rPr>
            </w:pPr>
            <w:r>
              <w:rPr>
                <w:rFonts w:hint="eastAsia"/>
                <w:color w:val="auto"/>
                <w:sz w:val="24"/>
                <w:highlight w:val="none"/>
              </w:rPr>
              <w:t xml:space="preserve">通信地址</w:t>
            </w: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spacing w:line="24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spacing w:line="240" w:lineRule="auto"/>
              <w:rPr>
                <w:color w:val="auto"/>
                <w:sz w:val="24"/>
                <w:highlight w:val="none"/>
              </w:rPr>
            </w:pPr>
            <w:r>
              <w:rPr>
                <w:rFonts w:hint="eastAsia"/>
                <w:color w:val="auto"/>
                <w:sz w:val="24"/>
                <w:highlight w:val="none"/>
              </w:rPr>
              <w:t xml:space="preserve">通信地址</w:t>
            </w: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spacing w:line="240" w:lineRule="auto"/>
              <w:rPr>
                <w:color w:val="auto"/>
                <w:spacing w:val="20"/>
                <w:sz w:val="24"/>
                <w:highlight w:val="none"/>
              </w:rPr>
            </w:pPr>
            <w:r>
              <w:rPr>
                <w:color w:val="auto"/>
                <w:spacing w:val="20"/>
                <w:sz w:val="24"/>
                <w:highlight w:val="none"/>
              </w:rPr>
            </w:r>
            <w:r/>
          </w:p>
        </w:tc>
      </w:tr>
      <w:tr>
        <w:trPr>
          <w:trHeight w:val="363"/>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spacing w:line="240" w:lineRule="auto"/>
              <w:rPr>
                <w:color w:val="auto"/>
                <w:sz w:val="24"/>
                <w:highlight w:val="none"/>
              </w:rPr>
            </w:pPr>
            <w:r>
              <w:rPr>
                <w:color w:val="auto"/>
                <w:sz w:val="24"/>
                <w:highlight w:val="none"/>
              </w:rPr>
              <w:t xml:space="preserve">邮政编码</w:t>
            </w: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spacing w:line="24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spacing w:line="240" w:lineRule="auto"/>
              <w:rPr>
                <w:color w:val="auto"/>
                <w:sz w:val="24"/>
                <w:highlight w:val="none"/>
              </w:rPr>
            </w:pPr>
            <w:r>
              <w:rPr>
                <w:color w:val="auto"/>
                <w:sz w:val="24"/>
                <w:highlight w:val="none"/>
              </w:rPr>
              <w:t xml:space="preserve">邮政编码</w:t>
            </w: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spacing w:line="240" w:lineRule="auto"/>
              <w:rPr>
                <w:color w:val="auto"/>
                <w:spacing w:val="20"/>
                <w:sz w:val="24"/>
                <w:highlight w:val="none"/>
              </w:rPr>
            </w:pPr>
            <w:r>
              <w:rPr>
                <w:color w:val="auto"/>
                <w:spacing w:val="20"/>
                <w:sz w:val="24"/>
                <w:highlight w:val="none"/>
              </w:rPr>
            </w:r>
            <w:r/>
          </w:p>
        </w:tc>
      </w:tr>
      <w:tr>
        <w:trPr>
          <w:trHeight w:val="363"/>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spacing w:line="240" w:lineRule="auto"/>
              <w:rPr>
                <w:color w:val="auto"/>
                <w:sz w:val="24"/>
                <w:highlight w:val="none"/>
              </w:rPr>
            </w:pPr>
            <w:r>
              <w:rPr>
                <w:rFonts w:hint="eastAsia"/>
                <w:color w:val="auto"/>
                <w:sz w:val="24"/>
                <w:highlight w:val="none"/>
              </w:rPr>
              <w:t xml:space="preserve">电子邮箱</w:t>
            </w: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spacing w:line="24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spacing w:line="240" w:lineRule="auto"/>
              <w:rPr>
                <w:color w:val="auto"/>
                <w:sz w:val="24"/>
                <w:highlight w:val="none"/>
              </w:rPr>
            </w:pPr>
            <w:r>
              <w:rPr>
                <w:rFonts w:hint="eastAsia"/>
                <w:color w:val="auto"/>
                <w:sz w:val="24"/>
                <w:highlight w:val="none"/>
              </w:rPr>
              <w:t xml:space="preserve">电子邮箱</w:t>
            </w: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spacing w:line="240" w:lineRule="auto"/>
              <w:rPr>
                <w:color w:val="auto"/>
                <w:spacing w:val="20"/>
                <w:sz w:val="24"/>
                <w:highlight w:val="none"/>
              </w:rPr>
            </w:pPr>
            <w:r>
              <w:rPr>
                <w:color w:val="auto"/>
                <w:spacing w:val="20"/>
                <w:sz w:val="24"/>
                <w:highlight w:val="none"/>
              </w:rPr>
            </w:r>
            <w:r/>
          </w:p>
        </w:tc>
      </w:tr>
      <w:tr>
        <w:trPr>
          <w:trHeight w:val="363"/>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spacing w:line="240" w:lineRule="auto"/>
              <w:rPr>
                <w:color w:val="auto"/>
                <w:sz w:val="24"/>
                <w:highlight w:val="none"/>
              </w:rPr>
            </w:pPr>
            <w:r>
              <w:rPr>
                <w:rFonts w:hint="eastAsia"/>
                <w:color w:val="auto"/>
                <w:sz w:val="24"/>
                <w:highlight w:val="none"/>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spacing w:line="24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spacing w:line="240" w:lineRule="auto"/>
              <w:rPr>
                <w:color w:val="auto"/>
                <w:sz w:val="24"/>
                <w:highlight w:val="none"/>
              </w:rPr>
            </w:pPr>
            <w:r>
              <w:rPr>
                <w:rFonts w:hint="eastAsia"/>
                <w:color w:val="auto"/>
                <w:sz w:val="24"/>
                <w:highlight w:val="none"/>
              </w:rPr>
              <w:t xml:space="preserve">统一社会信用代码</w:t>
            </w: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spacing w:line="240" w:lineRule="auto"/>
              <w:rPr>
                <w:color w:val="auto"/>
                <w:spacing w:val="20"/>
                <w:sz w:val="24"/>
                <w:highlight w:val="none"/>
              </w:rPr>
            </w:pPr>
            <w:r>
              <w:rPr>
                <w:color w:val="auto"/>
                <w:spacing w:val="20"/>
                <w:sz w:val="24"/>
                <w:highlight w:val="none"/>
              </w:rPr>
            </w:r>
            <w:r/>
          </w:p>
        </w:tc>
      </w:tr>
      <w:tr>
        <w:trPr>
          <w:trHeight w:val="363"/>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spacing w:line="24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spacing w:line="24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spacing w:line="240" w:lineRule="auto"/>
              <w:rPr>
                <w:color w:val="auto"/>
                <w:sz w:val="24"/>
                <w:highlight w:val="none"/>
              </w:rPr>
            </w:pPr>
            <w:r>
              <w:rPr>
                <w:color w:val="auto"/>
                <w:sz w:val="24"/>
                <w:highlight w:val="none"/>
              </w:rPr>
              <w:t xml:space="preserve">开户名称</w:t>
            </w: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spacing w:line="240" w:lineRule="auto"/>
              <w:rPr>
                <w:color w:val="auto"/>
                <w:spacing w:val="20"/>
                <w:sz w:val="24"/>
                <w:highlight w:val="none"/>
              </w:rPr>
            </w:pPr>
            <w:r>
              <w:rPr>
                <w:color w:val="auto"/>
                <w:spacing w:val="20"/>
                <w:sz w:val="24"/>
                <w:highlight w:val="none"/>
              </w:rPr>
            </w:r>
            <w:r/>
          </w:p>
        </w:tc>
      </w:tr>
      <w:tr>
        <w:trPr>
          <w:trHeight w:val="363"/>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spacing w:line="24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spacing w:line="24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spacing w:line="240" w:lineRule="auto"/>
              <w:rPr>
                <w:color w:val="auto"/>
                <w:sz w:val="24"/>
                <w:highlight w:val="none"/>
              </w:rPr>
            </w:pPr>
            <w:r>
              <w:rPr>
                <w:color w:val="auto"/>
                <w:sz w:val="24"/>
                <w:highlight w:val="none"/>
              </w:rPr>
              <w:t xml:space="preserve">开户银行</w:t>
            </w: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spacing w:line="240" w:lineRule="auto"/>
              <w:rPr>
                <w:color w:val="auto"/>
                <w:spacing w:val="20"/>
                <w:sz w:val="24"/>
                <w:highlight w:val="none"/>
              </w:rPr>
            </w:pPr>
            <w:r>
              <w:rPr>
                <w:color w:val="auto"/>
                <w:spacing w:val="20"/>
                <w:sz w:val="24"/>
                <w:highlight w:val="none"/>
              </w:rPr>
            </w:r>
            <w:r/>
          </w:p>
        </w:tc>
      </w:tr>
      <w:tr>
        <w:trPr>
          <w:trHeight w:val="363"/>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spacing w:line="24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spacing w:line="24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spacing w:line="240" w:lineRule="auto"/>
              <w:rPr>
                <w:color w:val="auto"/>
                <w:sz w:val="24"/>
                <w:highlight w:val="none"/>
              </w:rPr>
            </w:pPr>
            <w:r>
              <w:rPr>
                <w:color w:val="auto"/>
                <w:sz w:val="24"/>
                <w:highlight w:val="none"/>
              </w:rPr>
              <w:t xml:space="preserve">银行账号</w:t>
            </w: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spacing w:line="240" w:lineRule="auto"/>
              <w:rPr>
                <w:color w:val="auto"/>
                <w:spacing w:val="20"/>
                <w:sz w:val="24"/>
                <w:highlight w:val="none"/>
              </w:rPr>
            </w:pPr>
            <w:r>
              <w:rPr>
                <w:color w:val="auto"/>
                <w:spacing w:val="20"/>
                <w:sz w:val="24"/>
                <w:highlight w:val="none"/>
              </w:rPr>
            </w:r>
            <w:r/>
          </w:p>
        </w:tc>
      </w:tr>
      <w:tr>
        <w:trPr>
          <w:trHeight w:val="457"/>
        </w:trPr>
        <w:tc>
          <w:tcPr>
            <w:gridSpan w:val="4"/>
            <w:tcBorders>
              <w:top w:val="single" w:color="000000" w:sz="2" w:space="0"/>
            </w:tcBorders>
            <w:tcW w:w="9799" w:type="dxa"/>
            <w:vAlign w:val="center"/>
            <w:textDirection w:val="lrTb"/>
            <w:noWrap w:val="false"/>
          </w:tcPr>
          <w:p>
            <w:pPr>
              <w:jc w:val="left"/>
              <w:spacing w:line="240" w:lineRule="auto"/>
              <w:rPr>
                <w:color w:val="auto"/>
                <w:spacing w:val="20"/>
                <w:sz w:val="24"/>
                <w:highlight w:val="none"/>
              </w:rPr>
            </w:pPr>
            <w:r>
              <w:rPr>
                <w:rFonts w:hint="eastAsia" w:ascii="宋体" w:hAnsi="宋体"/>
                <w:color w:val="auto"/>
                <w:sz w:val="24"/>
                <w:highlight w:val="none"/>
              </w:rPr>
              <w:t xml:space="preserve">注：涉及联合体或其他合同主体的信息应按上表格式加列。</w:t>
            </w:r>
            <w:r/>
          </w:p>
        </w:tc>
      </w:tr>
    </w:tbl>
    <w:p>
      <w:pPr>
        <w:pStyle w:val="706"/>
        <w:jc w:val="center"/>
        <w:spacing w:before="156"/>
        <w:rPr>
          <w:rFonts w:ascii="黑体" w:hAnsi="黑体" w:eastAsia="黑体"/>
          <w:color w:val="auto"/>
          <w:sz w:val="28"/>
          <w:szCs w:val="28"/>
          <w:highlight w:val="none"/>
        </w:rPr>
      </w:pPr>
      <w:r>
        <w:rPr>
          <w:rFonts w:ascii="宋体" w:hAnsi="宋体"/>
          <w:color w:val="auto"/>
          <w:highlight w:val="none"/>
          <w:u w:val="single"/>
        </w:rPr>
        <w:br w:type="page" w:clear="all"/>
      </w:r>
      <w:bookmarkStart w:id="167" w:name="_Toc27624"/>
      <w:r/>
      <w:bookmarkStart w:id="168" w:name="_Toc20313"/>
      <w:r>
        <w:rPr>
          <w:rFonts w:hint="eastAsia" w:ascii="黑体" w:hAnsi="黑体" w:eastAsia="黑体"/>
          <w:b w:val="0"/>
          <w:bCs w:val="0"/>
          <w:color w:val="auto"/>
          <w:sz w:val="28"/>
          <w:szCs w:val="28"/>
          <w:highlight w:val="none"/>
        </w:rPr>
        <w:t xml:space="preserve">第二节 政府采购合同通用条款</w:t>
      </w:r>
      <w:bookmarkEnd w:id="167"/>
      <w:r/>
      <w:r/>
    </w:p>
    <w:p>
      <w:pPr>
        <w:jc w:val="left"/>
        <w:spacing w:line="400" w:lineRule="exact"/>
        <w:tabs>
          <w:tab w:val="left" w:pos="8820" w:leader="none"/>
          <w:tab w:val="left" w:pos="9345" w:leader="none"/>
          <w:tab w:val="left" w:pos="9765" w:leader="none"/>
        </w:tabs>
        <w:rPr>
          <w:rFonts w:hint="eastAsia" w:ascii="宋体" w:hAnsi="宋体"/>
          <w:b/>
          <w:bCs/>
          <w:color w:val="auto"/>
          <w:sz w:val="24"/>
          <w:highlight w:val="none"/>
        </w:rPr>
      </w:pPr>
      <w:r>
        <w:rPr>
          <w:rFonts w:hint="eastAsia" w:ascii="宋体" w:hAnsi="宋体"/>
          <w:b/>
          <w:color w:val="auto"/>
          <w:sz w:val="24"/>
          <w:highlight w:val="none"/>
        </w:rPr>
        <w:t xml:space="preserve">1. </w:t>
      </w:r>
      <w:r>
        <w:rPr>
          <w:rFonts w:hint="eastAsia" w:ascii="宋体" w:hAnsi="宋体"/>
          <w:b/>
          <w:bCs/>
          <w:color w:val="auto"/>
          <w:sz w:val="24"/>
          <w:highlight w:val="none"/>
        </w:rPr>
        <w:t xml:space="preserve">定义</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1.1合同当事人</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cs="宋体"/>
          <w:bCs/>
          <w:color w:val="auto"/>
          <w:szCs w:val="21"/>
          <w:highlight w:val="none"/>
        </w:rPr>
        <w:t xml:space="preserve">依法参与合同缔结或履行，享有权利、承担义务的合同当事人</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1.2本合同下列术语应解释为：</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cs="宋体"/>
          <w:bCs/>
          <w:color w:val="auto"/>
          <w:szCs w:val="21"/>
          <w:highlight w:val="none"/>
        </w:rPr>
        <w:t xml:space="preserve">合同当事人意思表示达成一致的任何协议，包括签署的</w:t>
      </w:r>
      <w:r>
        <w:rPr>
          <w:rFonts w:hint="eastAsia" w:ascii="宋体" w:hAnsi="宋体"/>
          <w:color w:val="auto"/>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highlight w:val="none"/>
        </w:rPr>
        <w:t xml:space="preserve">国家法律、行政法规和规章制度规定或合同约定的作为合同组成部分的其他文件</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（3）“货物”系指乙方根据本合同规定须向甲方提供的各种形态和种类的物品，包括原材料、设备、产品（包括软件）及相关</w:t>
      </w:r>
      <w:r>
        <w:rPr>
          <w:rFonts w:hint="eastAsia" w:ascii="宋体" w:hAnsi="宋体"/>
          <w:color w:val="auto"/>
          <w:szCs w:val="21"/>
          <w:highlight w:val="none"/>
          <w:lang w:eastAsia="zh-CN"/>
        </w:rPr>
        <w:t xml:space="preserve">的</w:t>
      </w:r>
      <w:r>
        <w:rPr>
          <w:rFonts w:hint="eastAsia" w:ascii="宋体" w:hAnsi="宋体"/>
          <w:color w:val="auto"/>
          <w:szCs w:val="21"/>
          <w:highlight w:val="none"/>
        </w:rPr>
        <w:t xml:space="preserve">备品备件、工具、手册及</w:t>
      </w:r>
      <w:r>
        <w:rPr>
          <w:rFonts w:hint="eastAsia" w:ascii="宋体" w:hAnsi="宋体"/>
          <w:color w:val="auto"/>
          <w:szCs w:val="21"/>
          <w:highlight w:val="none"/>
          <w:lang w:val="en"/>
        </w:rPr>
        <w:t xml:space="preserve">其他</w:t>
      </w:r>
      <w:r>
        <w:rPr>
          <w:rFonts w:hint="eastAsia" w:ascii="宋体" w:hAnsi="宋体"/>
          <w:color w:val="auto"/>
          <w:szCs w:val="21"/>
          <w:highlight w:val="none"/>
        </w:rPr>
        <w:t xml:space="preserve">技术资料和材料等。</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（4）“相关服务”系指根据合同规定，乙方应提供的与货物有关的技术、管理和</w:t>
      </w:r>
      <w:r>
        <w:rPr>
          <w:rFonts w:hint="eastAsia" w:ascii="宋体" w:hAnsi="宋体"/>
          <w:color w:val="auto"/>
          <w:szCs w:val="21"/>
          <w:highlight w:val="none"/>
          <w:lang w:val="en"/>
        </w:rPr>
        <w:t xml:space="preserve">其他</w:t>
      </w:r>
      <w:r>
        <w:rPr>
          <w:rFonts w:hint="eastAsia" w:ascii="宋体" w:hAnsi="宋体"/>
          <w:color w:val="auto"/>
          <w:szCs w:val="21"/>
          <w:highlight w:val="none"/>
        </w:rPr>
        <w:t xml:space="preserve">服务，包括但不限于：管理和质量保证、运输、保险、检验、现场准备、安装、集成、调试、培训、维修、废弃处置、技术支持等以及合同中规定乙方应承担的</w:t>
      </w:r>
      <w:r>
        <w:rPr>
          <w:rFonts w:hint="eastAsia" w:ascii="宋体" w:hAnsi="宋体"/>
          <w:color w:val="auto"/>
          <w:szCs w:val="21"/>
          <w:highlight w:val="none"/>
          <w:lang w:val="en"/>
        </w:rPr>
        <w:t xml:space="preserve">其他</w:t>
      </w:r>
      <w:r>
        <w:rPr>
          <w:rFonts w:hint="eastAsia" w:ascii="宋体" w:hAnsi="宋体"/>
          <w:color w:val="auto"/>
          <w:szCs w:val="21"/>
          <w:highlight w:val="none"/>
        </w:rPr>
        <w:t xml:space="preserve">义务。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（7）其他术语解释，见【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numPr>
          <w:ilvl w:val="0"/>
          <w:numId w:val="3"/>
        </w:numPr>
        <w:jc w:val="left"/>
        <w:spacing w:line="400" w:lineRule="exact"/>
        <w:rPr>
          <w:rFonts w:hint="eastAsia" w:ascii="宋体" w:hAnsi="宋体"/>
          <w:b/>
          <w:bCs/>
          <w:color w:val="auto"/>
          <w:sz w:val="24"/>
          <w:highlight w:val="none"/>
        </w:rPr>
      </w:pPr>
      <w:r>
        <w:rPr>
          <w:rFonts w:hint="eastAsia" w:ascii="宋体" w:hAnsi="宋体"/>
          <w:b/>
          <w:color w:val="auto"/>
          <w:sz w:val="24"/>
          <w:highlight w:val="none"/>
        </w:rPr>
        <w:t xml:space="preserve">合同标的及金额</w:t>
      </w:r>
      <w:r/>
    </w:p>
    <w:p>
      <w:pPr>
        <w:ind w:firstLine="420"/>
        <w:jc w:val="left"/>
        <w:spacing w:line="400" w:lineRule="exact"/>
        <w:rPr>
          <w:rFonts w:hint="eastAsia" w:ascii="宋体" w:hAnsi="宋体"/>
          <w:b/>
          <w:bCs/>
          <w:i/>
          <w:iCs/>
          <w:color w:val="auto"/>
          <w:szCs w:val="21"/>
          <w:highlight w:val="none"/>
        </w:rPr>
      </w:pPr>
      <w:r>
        <w:rPr>
          <w:rFonts w:hint="eastAsia" w:ascii="宋体" w:hAnsi="宋体"/>
          <w:color w:val="auto"/>
          <w:szCs w:val="21"/>
          <w:highlight w:val="none"/>
        </w:rPr>
        <w:t xml:space="preserve">2.1 合同标的及金额应与中标（成交）结果一致。乙方为履行本合同而发生的所有费用均应包含在合同价款中，甲方不再另行支付</w:t>
      </w:r>
      <w:r>
        <w:rPr>
          <w:rFonts w:hint="eastAsia" w:ascii="宋体" w:hAnsi="宋体"/>
          <w:color w:val="auto"/>
          <w:szCs w:val="21"/>
          <w:highlight w:val="none"/>
          <w:lang w:val="en"/>
        </w:rPr>
        <w:t xml:space="preserve">其他</w:t>
      </w:r>
      <w:r>
        <w:rPr>
          <w:rFonts w:hint="eastAsia" w:ascii="宋体" w:hAnsi="宋体"/>
          <w:color w:val="auto"/>
          <w:szCs w:val="21"/>
          <w:highlight w:val="none"/>
        </w:rPr>
        <w:t xml:space="preserve">任何费用。</w:t>
      </w:r>
      <w:r/>
    </w:p>
    <w:p>
      <w:pPr>
        <w:jc w:val="left"/>
        <w:spacing w:line="400" w:lineRule="exact"/>
        <w:rPr>
          <w:rFonts w:hint="eastAsia" w:ascii="宋体" w:hAnsi="宋体"/>
          <w:b/>
          <w:color w:val="auto"/>
          <w:sz w:val="24"/>
          <w:highlight w:val="none"/>
        </w:rPr>
      </w:pPr>
      <w:r>
        <w:rPr>
          <w:rFonts w:hint="eastAsia" w:ascii="宋体" w:hAnsi="宋体"/>
          <w:b/>
          <w:color w:val="auto"/>
          <w:sz w:val="24"/>
          <w:highlight w:val="none"/>
        </w:rPr>
        <w:t xml:space="preserve">3. 履行合同的时间、地点和方式</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3.1 </w:t>
      </w:r>
      <w:r>
        <w:rPr>
          <w:rFonts w:hint="eastAsia" w:ascii="宋体" w:hAnsi="宋体" w:cs="宋体"/>
          <w:color w:val="auto"/>
          <w:szCs w:val="21"/>
          <w:highlight w:val="none"/>
        </w:rPr>
        <w:t xml:space="preserve">乙方应当在约定的时间、地点，按照约定方式履行合同。</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4. 甲方的权利和义务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4.3 甲方有权要求乙方对缺陷部分予以修复，并按合同约定享有货物保修及其他合同约定的权利。</w:t>
      </w:r>
      <w:r/>
    </w:p>
    <w:p>
      <w:pPr>
        <w:ind w:firstLine="420"/>
        <w:spacing w:line="400" w:lineRule="exact"/>
        <w:rPr>
          <w:rFonts w:hint="eastAsia" w:eastAsia="华文楷体"/>
          <w:color w:val="auto"/>
          <w:highlight w:val="none"/>
        </w:rPr>
      </w:pPr>
      <w:r>
        <w:rPr>
          <w:rFonts w:hint="eastAsia" w:ascii="宋体" w:hAnsi="宋体"/>
          <w:color w:val="auto"/>
          <w:szCs w:val="21"/>
          <w:highlight w:val="none"/>
        </w:rPr>
        <w:t xml:space="preserve">4.4 甲方应当按照合同约定及时对交付的货物进行验收，</w:t>
      </w:r>
      <w:r>
        <w:rPr>
          <w:rFonts w:hint="eastAsia" w:ascii="宋体" w:hAnsi="宋体" w:cs="宋体"/>
          <w:color w:val="auto"/>
          <w:szCs w:val="21"/>
          <w:highlight w:val="none"/>
        </w:rPr>
        <w:t xml:space="preserve">未</w:t>
      </w:r>
      <w:r>
        <w:rPr>
          <w:rFonts w:hint="eastAsia" w:ascii="宋体" w:hAnsi="宋体"/>
          <w:color w:val="auto"/>
          <w:szCs w:val="21"/>
          <w:highlight w:val="none"/>
        </w:rPr>
        <w:t xml:space="preserve">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约定的期限内对乙方履约提出任何异议或者向乙方作出任何说明的，</w:t>
      </w:r>
      <w:r>
        <w:rPr>
          <w:rFonts w:hint="eastAsia" w:ascii="宋体" w:hAnsi="宋体"/>
          <w:color w:val="auto"/>
          <w:szCs w:val="21"/>
          <w:highlight w:val="none"/>
        </w:rPr>
        <w:t xml:space="preserve">视为验收通过。</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4.6 国家法律法规规定及</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约定应由甲方承担的其他义务和责任。</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5. 乙方的权利和义务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5.1 签署合同后，乙方应确定项目负责人（或项目联系人），负责与本合同有关的事务。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20"/>
        <w:ind w:firstLine="369"/>
        <w:spacing w:after="0" w:line="400" w:lineRule="exact"/>
        <w:rPr>
          <w:rFonts w:hint="eastAsia" w:ascii="宋体" w:hAnsi="宋体" w:cs="宋体"/>
          <w:color w:val="auto"/>
          <w:szCs w:val="21"/>
          <w:highlight w:val="none"/>
        </w:rPr>
      </w:pPr>
      <w:r>
        <w:rPr>
          <w:rFonts w:hint="eastAsia" w:ascii="宋体" w:hAnsi="宋体"/>
          <w:color w:val="auto"/>
          <w:szCs w:val="21"/>
          <w:highlight w:val="none"/>
        </w:rPr>
        <w:t xml:space="preserve">5.3乙方有权</w:t>
      </w:r>
      <w:r>
        <w:rPr>
          <w:rFonts w:hint="eastAsia" w:ascii="宋体" w:hAnsi="宋体" w:cs="宋体"/>
          <w:color w:val="auto"/>
          <w:szCs w:val="21"/>
          <w:highlight w:val="none"/>
        </w:rPr>
        <w:t xml:space="preserve">根据合同约定向甲方收取合同价款。</w:t>
      </w:r>
      <w:r/>
    </w:p>
    <w:p>
      <w:pPr>
        <w:pStyle w:val="720"/>
        <w:ind w:firstLine="369"/>
        <w:spacing w:after="0" w:line="400" w:lineRule="exact"/>
        <w:rPr>
          <w:rFonts w:hint="eastAsia" w:ascii="宋体" w:hAnsi="宋体" w:cs="宋体"/>
          <w:color w:val="auto"/>
          <w:szCs w:val="21"/>
          <w:highlight w:val="none"/>
        </w:rPr>
      </w:pPr>
      <w:r>
        <w:rPr>
          <w:rFonts w:hint="eastAsia" w:ascii="宋体" w:hAnsi="宋体"/>
          <w:color w:val="auto"/>
          <w:szCs w:val="21"/>
          <w:highlight w:val="none"/>
        </w:rPr>
        <w:t xml:space="preserve">5.4</w:t>
      </w:r>
      <w:r>
        <w:rPr>
          <w:rFonts w:hint="eastAsia" w:ascii="宋体" w:hAnsi="宋体" w:cs="宋体"/>
          <w:color w:val="auto"/>
          <w:szCs w:val="21"/>
          <w:highlight w:val="none"/>
        </w:rPr>
        <w:t xml:space="preserve">国家法律法规规定</w:t>
      </w:r>
      <w:r>
        <w:rPr>
          <w:rFonts w:hint="eastAsia" w:ascii="宋体" w:hAnsi="宋体"/>
          <w:color w:val="auto"/>
          <w:szCs w:val="21"/>
          <w:highlight w:val="none"/>
        </w:rPr>
        <w:t xml:space="preserve">及</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约定应由乙方承担的其他义务和责任。</w:t>
      </w:r>
      <w:r/>
    </w:p>
    <w:p>
      <w:pPr>
        <w:numPr>
          <w:ilvl w:val="0"/>
          <w:numId w:val="4"/>
        </w:num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合同履行</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6.1 甲乙双方应当按照</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约定顺序履行合同义务；如果没有先后顺序的，应当同时履行。</w:t>
      </w:r>
      <w:r/>
    </w:p>
    <w:p>
      <w:pPr>
        <w:ind w:firstLine="420"/>
        <w:jc w:val="left"/>
        <w:spacing w:line="400" w:lineRule="exact"/>
        <w:rPr>
          <w:rFonts w:hint="eastAsia"/>
          <w:color w:val="auto"/>
          <w:highlight w:val="none"/>
        </w:rPr>
      </w:pPr>
      <w:r>
        <w:rPr>
          <w:rFonts w:hint="eastAsia" w:ascii="宋体" w:hAnsi="宋体"/>
          <w:color w:val="auto"/>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7. 货物包装、运输、保险和交付要求</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7.1 本合同</w:t>
      </w:r>
      <w:r>
        <w:rPr>
          <w:rFonts w:hint="eastAsia" w:ascii="宋体" w:hAnsi="宋体"/>
          <w:bCs/>
          <w:color w:val="auto"/>
          <w:szCs w:val="21"/>
          <w:highlight w:val="none"/>
        </w:rPr>
        <w:t xml:space="preserve">涉及商品包装、快递包装的，</w:t>
      </w:r>
      <w:r>
        <w:rPr>
          <w:rFonts w:hint="eastAsia" w:ascii="宋体" w:hAnsi="宋体"/>
          <w:color w:val="auto"/>
          <w:szCs w:val="21"/>
          <w:highlight w:val="none"/>
        </w:rPr>
        <w:t xml:space="preserve">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包装应适应远距离运输、防潮、防震、防锈和防野蛮装卸等要求，确保货物安全无损地运抵</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约定的</w:t>
      </w:r>
      <w:r>
        <w:rPr>
          <w:rFonts w:hint="eastAsia" w:ascii="宋体" w:hAnsi="宋体"/>
          <w:color w:val="auto"/>
          <w:szCs w:val="21"/>
          <w:highlight w:val="none"/>
        </w:rPr>
        <w:t xml:space="preserve">指定现场。</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7.2 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7.3 货物保险要求按</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规定执行</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7.5 </w:t>
      </w:r>
      <w:r>
        <w:rPr>
          <w:rFonts w:hint="eastAsia" w:ascii="宋体" w:hAnsi="宋体" w:cs="宋体"/>
          <w:color w:val="auto"/>
          <w:szCs w:val="21"/>
          <w:highlight w:val="none"/>
        </w:rPr>
        <w:t xml:space="preserve">乙方在运输到达之前应提前通知甲方，并提示货物运输装卸的注意事项，甲方配合乙方做好货物的接收工作。</w:t>
      </w:r>
      <w:r/>
    </w:p>
    <w:p>
      <w:pPr>
        <w:pStyle w:val="895"/>
        <w:ind w:firstLine="420"/>
        <w:rPr>
          <w:rFonts w:hint="eastAsia"/>
          <w:color w:val="auto"/>
          <w:sz w:val="21"/>
          <w:highlight w:val="none"/>
        </w:rPr>
      </w:pPr>
      <w:r>
        <w:rPr>
          <w:rFonts w:hint="eastAsia" w:ascii="宋体" w:hAnsi="宋体" w:eastAsia="宋体" w:cs="Times New Roman"/>
          <w:color w:val="auto"/>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color w:val="auto"/>
          <w:sz w:val="24"/>
          <w:highlight w:val="none"/>
        </w:rPr>
      </w:pPr>
      <w:r>
        <w:rPr>
          <w:rFonts w:hint="eastAsia" w:ascii="宋体" w:hAnsi="宋体"/>
          <w:b/>
          <w:color w:val="auto"/>
          <w:sz w:val="24"/>
          <w:highlight w:val="none"/>
        </w:rPr>
        <w:t xml:space="preserve">8. 质量标准和保证</w:t>
      </w:r>
      <w:r/>
    </w:p>
    <w:p>
      <w:pPr>
        <w:pStyle w:val="725"/>
        <w:ind w:firstLine="420"/>
        <w:jc w:val="left"/>
        <w:spacing w:line="400" w:lineRule="exact"/>
        <w:rPr>
          <w:rFonts w:hint="eastAsia" w:hAnsi="宋体"/>
          <w:b/>
          <w:color w:val="auto"/>
          <w:highlight w:val="none"/>
        </w:rPr>
      </w:pPr>
      <w:r>
        <w:rPr>
          <w:rFonts w:hint="eastAsia" w:hAnsi="宋体"/>
          <w:color w:val="auto"/>
          <w:highlight w:val="none"/>
        </w:rPr>
        <w:t xml:space="preserve">8.1 质量标准</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（1）本合同下提供的货物应符合合同</w:t>
      </w:r>
      <w:r>
        <w:rPr>
          <w:rFonts w:hint="eastAsia" w:ascii="宋体" w:hAnsi="宋体" w:cs="宋体"/>
          <w:color w:val="auto"/>
          <w:szCs w:val="21"/>
          <w:highlight w:val="none"/>
        </w:rPr>
        <w:t xml:space="preserve">约定的品牌、规格型号、技术性能、配置、质量、数量等要求。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25"/>
        <w:ind w:firstLine="420"/>
        <w:jc w:val="left"/>
        <w:spacing w:line="400" w:lineRule="exact"/>
        <w:rPr>
          <w:rFonts w:hint="eastAsia" w:hAnsi="宋体"/>
          <w:color w:val="auto"/>
          <w:highlight w:val="none"/>
        </w:rPr>
      </w:pPr>
      <w:r>
        <w:rPr>
          <w:rFonts w:hint="eastAsia" w:hAnsi="宋体"/>
          <w:color w:val="auto"/>
          <w:highlight w:val="none"/>
        </w:rPr>
        <w:t xml:space="preserve">（2）采用中华人民共和国法定计量单位。</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（3）乙方所提供的货物应符合国家有关安全、环保、卫生的规定。</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8.2 保证</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Cs w:val="21"/>
          <w:highlight w:val="none"/>
        </w:rPr>
        <w:t xml:space="preserve">在其使用寿命期内具备合同约定的性能</w:t>
      </w:r>
      <w:r>
        <w:rPr>
          <w:rFonts w:hint="eastAsia" w:ascii="宋体" w:hAnsi="宋体"/>
          <w:color w:val="auto"/>
          <w:szCs w:val="21"/>
          <w:highlight w:val="none"/>
        </w:rPr>
        <w:t xml:space="preserve">。存在质量保证期的，货物最终交付验收合格后在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规定或乙方书面承诺（两者以较长的为准）的质量保证期内，本保证保持有效。</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（3）乙方收到通知后，应在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hint="eastAsia"/>
          <w:color w:val="auto"/>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9. 权利瑕疵担保</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9.1 乙方保证对其出售的货物享有合法的权利。</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9.2 </w:t>
      </w:r>
      <w:r>
        <w:rPr>
          <w:rFonts w:hint="eastAsia" w:ascii="宋体" w:hAnsi="宋体" w:cs="宋体"/>
          <w:color w:val="auto"/>
          <w:szCs w:val="15"/>
          <w:highlight w:val="none"/>
        </w:rPr>
        <w:t xml:space="preserve">乙方保证在交付的货物上不存在抵押权等担保物权。</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9.3 如甲方使用上述货物构成对第三人侵权的，则由乙方承担全部责任。</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10. 知识产权保护</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10.1 乙方对其所销售的货物应当享有知识产权或经权利人合法授权，保证没有侵犯任何第三人的知识产权等权利。</w:t>
      </w:r>
      <w:bookmarkStart w:id="169" w:name="_Hlk163047038"/>
      <w:r>
        <w:rPr>
          <w:rFonts w:hint="eastAsia" w:ascii="宋体" w:hAnsi="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169"/>
      <w:r>
        <w:rPr>
          <w:rFonts w:hint="eastAsia" w:ascii="宋体" w:hAnsi="宋体"/>
          <w:color w:val="auto"/>
          <w:szCs w:val="21"/>
          <w:highlight w:val="none"/>
        </w:rPr>
        <w:t xml:space="preserve">。</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11. 保密义务</w:t>
      </w:r>
      <w:r/>
    </w:p>
    <w:p>
      <w:pPr>
        <w:ind w:firstLine="420"/>
        <w:jc w:val="left"/>
        <w:spacing w:line="400" w:lineRule="exact"/>
        <w:rPr>
          <w:rFonts w:hint="eastAsia" w:ascii="宋体" w:hAnsi="宋体" w:cs="宋体"/>
          <w:color w:val="auto"/>
          <w:szCs w:val="15"/>
          <w:highlight w:val="none"/>
        </w:rPr>
      </w:pPr>
      <w:r>
        <w:rPr>
          <w:rFonts w:hint="eastAsia" w:ascii="宋体" w:hAnsi="宋体" w:cs="宋体"/>
          <w:color w:val="auto"/>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中约定。</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12. 合同价款支付</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12.1 合同价款支付按照国库集中支付制度及财政管理相关规定执行。</w:t>
      </w:r>
      <w:r/>
    </w:p>
    <w:p>
      <w:pPr>
        <w:pStyle w:val="706"/>
        <w:ind w:firstLine="420"/>
        <w:spacing w:line="400" w:lineRule="exact"/>
        <w:rPr>
          <w:rFonts w:hint="eastAsia"/>
          <w:color w:val="auto"/>
          <w:highlight w:val="none"/>
        </w:rPr>
      </w:pPr>
      <w:r>
        <w:rPr>
          <w:rFonts w:hint="eastAsia" w:ascii="宋体" w:hAnsi="宋体"/>
          <w:b w:val="0"/>
          <w:bCs w:val="0"/>
          <w:color w:val="auto"/>
          <w:sz w:val="21"/>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olor w:val="auto"/>
          <w:sz w:val="21"/>
          <w:szCs w:val="21"/>
          <w:highlight w:val="none"/>
        </w:rPr>
        <w:t xml:space="preserve">政府采购合同专用条款</w:t>
      </w:r>
      <w:r>
        <w:rPr>
          <w:rFonts w:hint="eastAsia" w:ascii="宋体" w:hAnsi="宋体"/>
          <w:b w:val="0"/>
          <w:bCs w:val="0"/>
          <w:color w:val="auto"/>
          <w:sz w:val="21"/>
          <w:szCs w:val="21"/>
          <w:highlight w:val="none"/>
        </w:rPr>
        <w:t xml:space="preserve">】中约定。</w:t>
      </w:r>
      <w:r/>
    </w:p>
    <w:p>
      <w:pPr>
        <w:pStyle w:val="720"/>
        <w:spacing w:after="0"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13. 履约保证金</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13.1 </w:t>
      </w:r>
      <w:r>
        <w:rPr>
          <w:rFonts w:hint="eastAsia" w:ascii="宋体" w:hAnsi="宋体" w:cs="宋体"/>
          <w:color w:val="auto"/>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13.2 如果乙方出现</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约定情形的</w:t>
      </w:r>
      <w:r>
        <w:rPr>
          <w:rFonts w:hint="eastAsia" w:ascii="宋体" w:hAnsi="宋体"/>
          <w:color w:val="auto"/>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color w:val="auto"/>
          <w:highlight w:val="none"/>
        </w:rPr>
      </w:pPr>
      <w:r>
        <w:rPr>
          <w:rFonts w:hint="eastAsia" w:ascii="宋体" w:hAnsi="宋体"/>
          <w:color w:val="auto"/>
          <w:szCs w:val="21"/>
          <w:highlight w:val="none"/>
        </w:rPr>
        <w:t xml:space="preserve">13.3 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p>
    <w:p>
      <w:pPr>
        <w:jc w:val="left"/>
        <w:spacing w:line="400" w:lineRule="exact"/>
        <w:rPr>
          <w:rFonts w:ascii="宋体" w:hAnsi="宋体"/>
          <w:b/>
          <w:color w:val="auto"/>
          <w:sz w:val="24"/>
          <w:highlight w:val="none"/>
        </w:rPr>
      </w:pPr>
      <w:r>
        <w:rPr>
          <w:rFonts w:hint="eastAsia" w:ascii="宋体" w:hAnsi="宋体"/>
          <w:b/>
          <w:bCs/>
          <w:color w:val="auto"/>
          <w:sz w:val="24"/>
          <w:highlight w:val="none"/>
        </w:rPr>
        <w:t xml:space="preserve">14. </w:t>
      </w:r>
      <w:r>
        <w:rPr>
          <w:rFonts w:hint="eastAsia"/>
          <w:b/>
          <w:color w:val="auto"/>
          <w:sz w:val="24"/>
          <w:highlight w:val="none"/>
        </w:rPr>
        <w:t xml:space="preserve">售后</w:t>
      </w:r>
      <w:r>
        <w:rPr>
          <w:rFonts w:hint="eastAsia" w:ascii="宋体" w:hAnsi="宋体"/>
          <w:b/>
          <w:color w:val="auto"/>
          <w:sz w:val="24"/>
          <w:highlight w:val="none"/>
        </w:rPr>
        <w:t xml:space="preserve">服务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14.1 除项目不涉及或采购活动中明确约定无须承担外，乙方还应提供下列服务：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cs="宋体"/>
          <w:b/>
          <w:bCs/>
          <w:color w:val="auto"/>
          <w:szCs w:val="15"/>
          <w:highlight w:val="none"/>
        </w:rPr>
        <w:t xml:space="preserve">【政府采购合同专用条款】</w:t>
      </w:r>
      <w:r>
        <w:rPr>
          <w:rFonts w:hint="eastAsia" w:ascii="宋体" w:hAnsi="宋体"/>
          <w:color w:val="auto"/>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（4）在制造商所在地或指定现场就货物的安装、启动、运营、维护、废弃处置等对甲方操作人员进行培训</w:t>
      </w:r>
      <w:r>
        <w:rPr>
          <w:rFonts w:hint="eastAsia" w:ascii="宋体" w:hAnsi="宋体" w:cs="宋体"/>
          <w:color w:val="auto"/>
          <w:szCs w:val="15"/>
          <w:highlight w:val="none"/>
        </w:rPr>
        <w:t xml:space="preserve">；</w:t>
      </w:r>
      <w:r/>
    </w:p>
    <w:p>
      <w:pPr>
        <w:pStyle w:val="895"/>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（6）</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14.2 乙方提供的售后服务的费用已包含在合同价款中，甲方不再另行支付。</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15. 违约责任</w:t>
      </w:r>
      <w:r/>
    </w:p>
    <w:p>
      <w:pPr>
        <w:ind w:firstLine="420"/>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15.1质量瑕疵的违约责任</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乙方提供的产品不符合合同约定的质量标准或存在产品质量缺陷，甲方有权要求乙方根据</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要求</w:t>
      </w:r>
      <w:r>
        <w:rPr>
          <w:rFonts w:hint="eastAsia" w:ascii="宋体" w:hAnsi="宋体"/>
          <w:color w:val="auto"/>
          <w:szCs w:val="21"/>
          <w:highlight w:val="none"/>
        </w:rPr>
        <w:t xml:space="preserve">及时修理、重作、更换，并承担由此给甲方造成的损失。</w:t>
      </w:r>
      <w:r/>
    </w:p>
    <w:p>
      <w:pPr>
        <w:ind w:firstLine="420"/>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15.2 迟延交货的违约责任</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15.3 迟延支付的违约责任</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p>
    <w:p>
      <w:pPr>
        <w:ind w:firstLine="420"/>
        <w:jc w:val="left"/>
        <w:spacing w:line="400" w:lineRule="exact"/>
        <w:rPr>
          <w:rFonts w:hint="eastAsia" w:ascii="宋体" w:hAnsi="宋体"/>
          <w:color w:val="auto"/>
          <w:szCs w:val="21"/>
          <w:highlight w:val="none"/>
        </w:rPr>
      </w:pPr>
      <w:r>
        <w:rPr>
          <w:rFonts w:hint="eastAsia" w:ascii="宋体" w:hAnsi="宋体"/>
          <w:bCs/>
          <w:color w:val="auto"/>
          <w:szCs w:val="21"/>
          <w:highlight w:val="none"/>
        </w:rPr>
        <w:t xml:space="preserve">15.4其他违约责任根据项目实际需要按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p>
    <w:p>
      <w:pPr>
        <w:numPr>
          <w:ilvl w:val="0"/>
          <w:numId w:val="5"/>
        </w:numPr>
        <w:jc w:val="left"/>
        <w:spacing w:line="400" w:lineRule="exact"/>
        <w:rPr>
          <w:rFonts w:hint="eastAsia" w:ascii="宋体" w:hAnsi="宋体"/>
          <w:b/>
          <w:color w:val="auto"/>
          <w:sz w:val="24"/>
          <w:highlight w:val="none"/>
        </w:rPr>
      </w:pPr>
      <w:r>
        <w:rPr>
          <w:rFonts w:hint="eastAsia" w:ascii="宋体" w:hAnsi="宋体"/>
          <w:b/>
          <w:color w:val="auto"/>
          <w:sz w:val="24"/>
          <w:highlight w:val="none"/>
        </w:rPr>
        <w:t xml:space="preserve">合同变更、中止与终止</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    16.1合同的变更</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16.2合同的中止</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95"/>
        <w:ind w:firstLine="420"/>
        <w:jc w:val="both"/>
        <w:rPr>
          <w:rFonts w:hint="eastAsia"/>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color w:val="auto"/>
          <w:highlight w:val="none"/>
        </w:rPr>
      </w:pPr>
      <w:r>
        <w:rPr>
          <w:rFonts w:hint="eastAsia" w:ascii="宋体" w:hAnsi="宋体"/>
          <w:color w:val="auto"/>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16.3合同的终止</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（1）合同因有效期限届满而终止；</w:t>
      </w:r>
      <w:r/>
    </w:p>
    <w:p>
      <w:pPr>
        <w:ind w:firstLine="420"/>
        <w:spacing w:line="400" w:lineRule="exact"/>
        <w:rPr>
          <w:rFonts w:hint="eastAsia" w:ascii="宋体" w:hAnsi="宋体" w:cs="宋体"/>
          <w:color w:val="auto"/>
          <w:szCs w:val="21"/>
          <w:highlight w:val="none"/>
        </w:rPr>
      </w:pPr>
      <w:r>
        <w:rPr>
          <w:rFonts w:hint="eastAsia" w:ascii="宋体" w:hAnsi="宋体"/>
          <w:color w:val="auto"/>
          <w:szCs w:val="21"/>
          <w:highlight w:val="none"/>
        </w:rPr>
        <w:t xml:space="preserve">（2）乙方未按合同约定履行，构成根本性违约的，甲方有权终止合同，</w:t>
      </w:r>
      <w:r>
        <w:rPr>
          <w:rFonts w:hint="eastAsia" w:ascii="宋体" w:hAnsi="宋体" w:cs="宋体"/>
          <w:color w:val="auto"/>
          <w:szCs w:val="21"/>
          <w:highlight w:val="none"/>
        </w:rPr>
        <w:t xml:space="preserve">并追究乙方的违约责任</w:t>
      </w:r>
      <w:r>
        <w:rPr>
          <w:rFonts w:hint="eastAsia" w:ascii="宋体" w:hAnsi="宋体"/>
          <w:color w:val="auto"/>
          <w:szCs w:val="21"/>
          <w:highlight w:val="none"/>
        </w:rPr>
        <w:t xml:space="preserve">。</w:t>
      </w:r>
      <w:r/>
    </w:p>
    <w:p>
      <w:pPr>
        <w:pStyle w:val="895"/>
        <w:rPr>
          <w:rFonts w:hint="eastAsia" w:ascii="宋体" w:hAnsi="宋体"/>
          <w:color w:val="auto"/>
          <w:highlight w:val="none"/>
        </w:rPr>
      </w:pPr>
      <w:r>
        <w:rPr>
          <w:rFonts w:hint="eastAsia" w:ascii="宋体" w:hAnsi="宋体"/>
          <w:color w:val="auto"/>
          <w:highlight w:val="none"/>
        </w:rPr>
        <w:t xml:space="preserve">16.4 </w:t>
      </w:r>
      <w:r>
        <w:rPr>
          <w:rFonts w:hint="eastAsia" w:ascii="宋体" w:hAnsi="宋体" w:eastAsia="宋体" w:cs="Times New Roman"/>
          <w:color w:val="auto"/>
          <w:sz w:val="21"/>
          <w:highlight w:val="none"/>
        </w:rPr>
        <w:t xml:space="preserve">涉及国家利益、社会公共利益的情形</w:t>
      </w:r>
      <w:r/>
    </w:p>
    <w:p>
      <w:pPr>
        <w:pStyle w:val="895"/>
        <w:ind w:firstLine="420"/>
        <w:jc w:val="both"/>
        <w:rPr>
          <w:rFonts w:hint="eastAsia"/>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17. 合同分包</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18. 不可抗力</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18.1 不可抗力是指合同双方不能预见、不能避免且不能克服的客观情况。</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19. 解决争议的方法</w:t>
      </w:r>
      <w:r/>
    </w:p>
    <w:p>
      <w:pPr>
        <w:pStyle w:val="895"/>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95"/>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895"/>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jc w:val="left"/>
        <w:spacing w:line="400" w:lineRule="exact"/>
        <w:rPr>
          <w:rFonts w:hint="eastAsia" w:ascii="宋体" w:hAnsi="宋体"/>
          <w:color w:val="auto"/>
          <w:sz w:val="24"/>
          <w:highlight w:val="none"/>
        </w:rPr>
      </w:pPr>
      <w:r>
        <w:rPr>
          <w:rFonts w:hint="eastAsia" w:ascii="宋体" w:hAnsi="宋体"/>
          <w:b/>
          <w:color w:val="auto"/>
          <w:sz w:val="24"/>
          <w:highlight w:val="none"/>
        </w:rPr>
        <w:t xml:space="preserve">20. 政府采购政策</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20.1 </w:t>
      </w:r>
      <w:r>
        <w:rPr>
          <w:rFonts w:hint="eastAsia" w:ascii="宋体" w:hAnsi="宋体" w:cs="宋体"/>
          <w:color w:val="auto"/>
          <w:highlight w:val="none"/>
          <w:lang w:val="en-GB"/>
        </w:rPr>
        <w:t xml:space="preserve">本合同应当按照规定执行政府采购政策。</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20.2 本合同依法执行政府采购政策的方式和内容，属于合同履约验收的范围。</w:t>
      </w:r>
      <w:r>
        <w:rPr>
          <w:rFonts w:hint="eastAsia" w:ascii="宋体" w:hAnsi="宋体" w:cs="宋体"/>
          <w:color w:val="auto"/>
          <w:highlight w:val="none"/>
        </w:rPr>
        <w:t xml:space="preserve">甲乙双方</w:t>
      </w:r>
      <w:r>
        <w:rPr>
          <w:rFonts w:hint="eastAsia" w:ascii="宋体" w:hAnsi="宋体" w:cs="宋体"/>
          <w:color w:val="auto"/>
          <w:highlight w:val="none"/>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p>
    <w:p>
      <w:pPr>
        <w:pStyle w:val="720"/>
        <w:ind w:firstLine="420"/>
        <w:spacing w:after="0" w:line="400" w:lineRule="exact"/>
        <w:rPr>
          <w:rFonts w:hint="eastAsia"/>
          <w:color w:val="auto"/>
          <w:highlight w:val="none"/>
        </w:rPr>
      </w:pPr>
      <w:r>
        <w:rPr>
          <w:rFonts w:hint="eastAsia" w:ascii="宋体" w:hAnsi="宋体"/>
          <w:color w:val="auto"/>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color w:val="auto"/>
          <w:sz w:val="24"/>
          <w:highlight w:val="none"/>
        </w:rPr>
      </w:pPr>
      <w:r>
        <w:rPr>
          <w:rFonts w:hint="eastAsia" w:ascii="宋体" w:hAnsi="宋体"/>
          <w:b/>
          <w:color w:val="auto"/>
          <w:sz w:val="24"/>
          <w:highlight w:val="none"/>
        </w:rPr>
        <w:t xml:space="preserve">21. 法律适用</w:t>
      </w:r>
      <w:r/>
    </w:p>
    <w:p>
      <w:pPr>
        <w:pStyle w:val="895"/>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p>
    <w:p>
      <w:pPr>
        <w:pStyle w:val="895"/>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color w:val="auto"/>
          <w:sz w:val="24"/>
          <w:highlight w:val="none"/>
        </w:rPr>
      </w:pPr>
      <w:r>
        <w:rPr>
          <w:rFonts w:hint="eastAsia" w:ascii="宋体" w:hAnsi="宋体"/>
          <w:b/>
          <w:color w:val="auto"/>
          <w:sz w:val="24"/>
          <w:highlight w:val="none"/>
        </w:rPr>
        <w:t xml:space="preserve">22. 通知</w:t>
      </w:r>
      <w:r/>
    </w:p>
    <w:p>
      <w:pPr>
        <w:pStyle w:val="895"/>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895"/>
        <w:ind w:firstLine="0"/>
        <w:jc w:val="both"/>
        <w:rPr>
          <w:rFonts w:hint="eastAsia"/>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22.4通知以送达之日或通知书中规定的生效之日起生效，两者中以较迟之日为准。</w:t>
      </w:r>
      <w:r/>
    </w:p>
    <w:p>
      <w:pPr>
        <w:numPr>
          <w:ilvl w:val="0"/>
          <w:numId w:val="6"/>
        </w:num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合同未尽事项</w:t>
      </w:r>
      <w:r/>
    </w:p>
    <w:p>
      <w:pPr>
        <w:ind w:firstLine="420"/>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23.1合同未尽事项见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p>
    <w:p>
      <w:pPr>
        <w:jc w:val="left"/>
        <w:spacing w:line="400" w:lineRule="exact"/>
        <w:rPr>
          <w:rFonts w:hint="eastAsia" w:ascii="黑体" w:hAnsi="华文中宋" w:eastAsia="黑体"/>
          <w:color w:val="auto"/>
          <w:sz w:val="28"/>
          <w:szCs w:val="28"/>
          <w:highlight w:val="none"/>
        </w:rPr>
      </w:pPr>
      <w:r>
        <w:rPr>
          <w:rFonts w:hint="eastAsia" w:ascii="宋体" w:hAnsi="宋体"/>
          <w:bCs/>
          <w:color w:val="auto"/>
          <w:szCs w:val="21"/>
          <w:highlight w:val="none"/>
        </w:rPr>
        <w:t xml:space="preserve">    23.2 合同附件与合同正文具有同等的法律效力。</w:t>
      </w:r>
      <w:r/>
    </w:p>
    <w:p>
      <w:pPr>
        <w:jc w:val="center"/>
        <w:keepLines/>
        <w:keepNext/>
        <w:spacing w:line="360" w:lineRule="auto"/>
        <w:rPr>
          <w:rFonts w:ascii="黑体" w:hAnsi="华文中宋" w:eastAsia="黑体"/>
          <w:color w:val="auto"/>
          <w:sz w:val="24"/>
          <w:highlight w:val="none"/>
        </w:rPr>
        <w:outlineLvl w:val="1"/>
      </w:pPr>
      <w:r>
        <w:rPr>
          <w:rFonts w:hint="eastAsia" w:ascii="黑体" w:hAnsi="华文中宋" w:eastAsia="黑体"/>
          <w:color w:val="auto"/>
          <w:sz w:val="24"/>
          <w:highlight w:val="none"/>
        </w:rPr>
        <w:br w:type="page" w:clear="all"/>
      </w:r>
      <w:r/>
    </w:p>
    <w:p>
      <w:pPr>
        <w:jc w:val="center"/>
        <w:keepLines/>
        <w:keepNext/>
        <w:spacing w:line="360" w:lineRule="auto"/>
        <w:rPr>
          <w:rFonts w:ascii="黑体" w:hAnsi="华文中宋" w:eastAsia="黑体"/>
          <w:color w:val="auto"/>
          <w:sz w:val="24"/>
          <w:highlight w:val="none"/>
        </w:rPr>
        <w:outlineLvl w:val="1"/>
      </w:pPr>
      <w:r>
        <w:rPr>
          <w:rFonts w:hint="eastAsia" w:ascii="黑体" w:hAnsi="华文中宋" w:eastAsia="黑体"/>
          <w:color w:val="auto"/>
          <w:sz w:val="24"/>
          <w:highlight w:val="none"/>
        </w:rPr>
        <w:t xml:space="preserve">第三节 政府采购合同专用条款</w:t>
      </w:r>
      <w:bookmarkEnd w:id="168"/>
      <w:r/>
      <w:r/>
    </w:p>
    <w:tbl>
      <w:tblPr>
        <w:tblStyle w:val="715"/>
        <w:tblW w:w="8948"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599"/>
      </w:tblGrid>
      <w:tr>
        <w:trPr>
          <w:jc w:val="center"/>
          <w:trHeight w:val="736"/>
        </w:trPr>
        <w:tc>
          <w:tcPr>
            <w:tcW w:w="1560"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第二节</w:t>
            </w:r>
            <w:r/>
          </w:p>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第1.2（6）项</w:t>
            </w:r>
            <w:r/>
          </w:p>
        </w:tc>
        <w:tc>
          <w:tcPr>
            <w:tcW w:w="1789"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联合体具体要求</w:t>
            </w:r>
            <w:r/>
          </w:p>
        </w:tc>
        <w:tc>
          <w:tcPr>
            <w:tcW w:w="5599" w:type="dxa"/>
            <w:vAlign w:val="center"/>
            <w:textDirection w:val="lrTb"/>
            <w:noWrap w:val="false"/>
          </w:tcPr>
          <w:p>
            <w:pPr>
              <w:pStyle w:val="911"/>
              <w:ind w:firstLine="420"/>
              <w:jc w:val="both"/>
              <w:spacing w:line="240" w:lineRule="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 xml:space="preserve">本项目不接受联合体</w:t>
            </w:r>
            <w:r/>
          </w:p>
        </w:tc>
      </w:tr>
      <w:tr>
        <w:trPr>
          <w:jc w:val="center"/>
          <w:trHeight w:val="604"/>
        </w:trPr>
        <w:tc>
          <w:tcPr>
            <w:tcW w:w="1560"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第二节</w:t>
            </w:r>
            <w:r/>
          </w:p>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第1.2（7）项</w:t>
            </w:r>
            <w:r/>
          </w:p>
        </w:tc>
        <w:tc>
          <w:tcPr>
            <w:tcW w:w="1789"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其他术语解释</w:t>
            </w:r>
            <w:r/>
          </w:p>
        </w:tc>
        <w:tc>
          <w:tcPr>
            <w:tcW w:w="5599" w:type="dxa"/>
            <w:vAlign w:val="center"/>
            <w:textDirection w:val="lrTb"/>
            <w:noWrap w:val="false"/>
          </w:tcPr>
          <w:p>
            <w:pPr>
              <w:pStyle w:val="911"/>
              <w:ind w:firstLine="420"/>
              <w:jc w:val="both"/>
              <w:spacing w:line="240" w:lineRule="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 xml:space="preserve">/</w:t>
            </w:r>
            <w:r/>
          </w:p>
        </w:tc>
      </w:tr>
      <w:tr>
        <w:trPr>
          <w:jc w:val="center"/>
          <w:trHeight w:val="736"/>
        </w:trPr>
        <w:tc>
          <w:tcPr>
            <w:tcW w:w="1560"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第二节</w:t>
            </w:r>
            <w:r/>
          </w:p>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第4.4款</w:t>
            </w:r>
            <w:r/>
          </w:p>
        </w:tc>
        <w:tc>
          <w:tcPr>
            <w:tcW w:w="1789"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履约验收中甲方提出异议或作出说明的期限</w:t>
            </w:r>
            <w:r/>
          </w:p>
        </w:tc>
        <w:tc>
          <w:tcPr>
            <w:tcW w:w="5599" w:type="dxa"/>
            <w:vAlign w:val="center"/>
            <w:textDirection w:val="lrTb"/>
            <w:noWrap w:val="false"/>
          </w:tcPr>
          <w:p>
            <w:pPr>
              <w:pStyle w:val="911"/>
              <w:ind w:firstLine="420"/>
              <w:jc w:val="both"/>
              <w:spacing w:line="240" w:lineRule="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 xml:space="preserve">在竣工验收完成后的30日内，甲方对乙方所供货物的技术性能和参数等方面的问题有提出异议的权利。</w:t>
            </w:r>
            <w:r/>
          </w:p>
        </w:tc>
      </w:tr>
      <w:tr>
        <w:trPr>
          <w:jc w:val="center"/>
          <w:trHeight w:val="736"/>
        </w:trPr>
        <w:tc>
          <w:tcPr>
            <w:tcW w:w="1560"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第二节</w:t>
            </w:r>
            <w:r/>
          </w:p>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第4.6款</w:t>
            </w:r>
            <w:r/>
          </w:p>
        </w:tc>
        <w:tc>
          <w:tcPr>
            <w:tcW w:w="1789"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约定甲方承担的其他义务和责任</w:t>
            </w:r>
            <w:r/>
          </w:p>
        </w:tc>
        <w:tc>
          <w:tcPr>
            <w:tcW w:w="5599" w:type="dxa"/>
            <w:vAlign w:val="center"/>
            <w:textDirection w:val="lrTb"/>
            <w:noWrap w:val="false"/>
          </w:tcPr>
          <w:p>
            <w:pPr>
              <w:pStyle w:val="911"/>
              <w:ind w:left="458"/>
              <w:jc w:val="both"/>
              <w:spacing w:line="240" w:lineRule="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 xml:space="preserve">协助、协调乙方与相关单位的配合工作</w:t>
            </w:r>
            <w:r/>
          </w:p>
        </w:tc>
      </w:tr>
      <w:tr>
        <w:trPr>
          <w:jc w:val="center"/>
          <w:trHeight w:val="736"/>
        </w:trPr>
        <w:tc>
          <w:tcPr>
            <w:tcW w:w="1560"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第二节</w:t>
            </w:r>
            <w:r/>
          </w:p>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第5.4款</w:t>
            </w:r>
            <w:r/>
          </w:p>
        </w:tc>
        <w:tc>
          <w:tcPr>
            <w:tcW w:w="1789"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约定乙方承担的其他义务和责任</w:t>
            </w:r>
            <w:r/>
          </w:p>
        </w:tc>
        <w:tc>
          <w:tcPr>
            <w:tcW w:w="5599" w:type="dxa"/>
            <w:vAlign w:val="center"/>
            <w:textDirection w:val="lrTb"/>
            <w:noWrap w:val="false"/>
          </w:tcPr>
          <w:p>
            <w:pPr>
              <w:pStyle w:val="911"/>
              <w:ind w:firstLine="420"/>
              <w:jc w:val="both"/>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1、乙方保证甲方在使用该货物或其任何一部分时免受第三方关于侵犯其专利权、商标权、工业设计权、知识产权等相关权利的指控。</w:t>
            </w:r>
            <w:r/>
          </w:p>
          <w:p>
            <w:pPr>
              <w:pStyle w:val="911"/>
              <w:ind w:firstLine="420"/>
              <w:jc w:val="both"/>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2、如货物的硬（软）件质量、规格在使用期内被证明存在缺陷，包括潜在的缺陷或使用不合适的材料，甲方或乙方有权凭有关证明文件向供方提出索赔，并交有关部门处理。</w:t>
            </w:r>
            <w:r/>
          </w:p>
          <w:p>
            <w:pPr>
              <w:ind w:firstLine="440"/>
              <w:jc w:val="both"/>
              <w:spacing w:line="240" w:lineRule="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rPr>
              <w:t xml:space="preserve">乙方逾期交付货物的，乙方应按逾期交货总额</w:t>
            </w:r>
            <w:r>
              <w:rPr>
                <w:rFonts w:hint="eastAsia" w:ascii="仿宋" w:hAnsi="仿宋" w:eastAsia="仿宋" w:cs="仿宋"/>
                <w:color w:val="auto"/>
                <w:sz w:val="22"/>
                <w:szCs w:val="22"/>
                <w:highlight w:val="none"/>
                <w:lang w:val="en-US" w:eastAsia="zh-CN"/>
              </w:rPr>
              <w:t xml:space="preserve">5‰元/天</w:t>
            </w:r>
            <w:r>
              <w:rPr>
                <w:rFonts w:hint="eastAsia" w:ascii="仿宋" w:hAnsi="仿宋" w:eastAsia="仿宋" w:cs="仿宋"/>
                <w:color w:val="auto"/>
                <w:sz w:val="22"/>
                <w:szCs w:val="22"/>
                <w:highlight w:val="none"/>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rPr>
              <w:t xml:space="preserve">的违约金，如造成甲方损失超过违约金的，超出部分由乙方继续承担赔偿责任</w:t>
            </w:r>
            <w:r>
              <w:rPr>
                <w:rFonts w:hint="eastAsia" w:ascii="仿宋" w:hAnsi="仿宋" w:eastAsia="仿宋" w:cs="仿宋"/>
                <w:color w:val="auto"/>
                <w:sz w:val="22"/>
                <w:szCs w:val="22"/>
                <w:highlight w:val="none"/>
                <w:lang w:val="en-US" w:eastAsia="zh-CN"/>
              </w:rPr>
              <w:t xml:space="preserve">。</w:t>
            </w:r>
            <w:r/>
          </w:p>
          <w:p>
            <w:pPr>
              <w:ind w:firstLine="440"/>
              <w:jc w:val="both"/>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40"/>
              <w:jc w:val="both"/>
              <w:spacing w:line="240" w:lineRule="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5、乙方如提供的货物或者人员不能满足甲方要求，甲方可要求其无条件更换，直至满足要求为止。</w:t>
            </w:r>
            <w:r/>
          </w:p>
        </w:tc>
      </w:tr>
      <w:tr>
        <w:trPr>
          <w:jc w:val="center"/>
          <w:trHeight w:val="736"/>
        </w:trPr>
        <w:tc>
          <w:tcPr>
            <w:tcW w:w="1560"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第二节</w:t>
            </w:r>
            <w:r/>
          </w:p>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第6.1款</w:t>
            </w:r>
            <w:r/>
          </w:p>
        </w:tc>
        <w:tc>
          <w:tcPr>
            <w:tcW w:w="1789"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履行合同义务的顺序</w:t>
            </w:r>
            <w:r/>
          </w:p>
        </w:tc>
        <w:tc>
          <w:tcPr>
            <w:tcW w:w="5599" w:type="dxa"/>
            <w:vAlign w:val="center"/>
            <w:textDirection w:val="lrTb"/>
            <w:noWrap w:val="false"/>
          </w:tcPr>
          <w:p>
            <w:pPr>
              <w:jc w:val="both"/>
              <w:spacing w:line="240" w:lineRule="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w:t>
            </w:r>
            <w:r/>
          </w:p>
        </w:tc>
      </w:tr>
      <w:tr>
        <w:trPr>
          <w:cantSplit/>
          <w:jc w:val="center"/>
          <w:trHeight w:val="667"/>
        </w:trPr>
        <w:tc>
          <w:tcPr>
            <w:tcW w:w="1560" w:type="dxa"/>
            <w:vAlign w:val="center"/>
            <w:vMerge w:val="restart"/>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第二节</w:t>
            </w:r>
            <w:r/>
          </w:p>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第7.1款</w:t>
            </w:r>
            <w:r/>
          </w:p>
        </w:tc>
        <w:tc>
          <w:tcPr>
            <w:tcW w:w="1789"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包装特殊要求</w:t>
            </w:r>
            <w:r/>
          </w:p>
        </w:tc>
        <w:tc>
          <w:tcPr>
            <w:tcW w:w="5599" w:type="dxa"/>
            <w:vAlign w:val="center"/>
            <w:textDirection w:val="lrTb"/>
            <w:noWrap w:val="false"/>
          </w:tcPr>
          <w:p>
            <w:pPr>
              <w:jc w:val="both"/>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jc w:val="both"/>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1.商品包装层数不得超过3 层，空隙率不大于40%；</w:t>
            </w:r>
            <w:r/>
          </w:p>
          <w:p>
            <w:pPr>
              <w:jc w:val="both"/>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2.商品包装尽可能使用单一材质的包装材料，如因功能需求必需使用不同材质，不同材质间应便于分离；</w:t>
            </w:r>
            <w:r/>
          </w:p>
          <w:p>
            <w:pPr>
              <w:jc w:val="both"/>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3.商品包装中铅、汞、镉、六价铬的总含量应不大于100mg/kg；</w:t>
            </w:r>
            <w:r/>
          </w:p>
          <w:p>
            <w:pPr>
              <w:jc w:val="both"/>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4.商品包装印刷使用的油墨中挥发性有机化合物(VOCs)含量应不大于 5%（以重量计）；</w:t>
            </w:r>
            <w:r/>
          </w:p>
          <w:p>
            <w:pPr>
              <w:jc w:val="both"/>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5.塑料材质商品包装上呈现的印刷颜色不得超过6色；</w:t>
            </w:r>
            <w:r/>
          </w:p>
          <w:p>
            <w:pPr>
              <w:jc w:val="both"/>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6.纸质商品包装应使用75%以上的可再生纤维原料生产；</w:t>
            </w:r>
            <w:r/>
          </w:p>
          <w:p>
            <w:pPr>
              <w:jc w:val="both"/>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7.木质商品包装的原料应来源于可持续性森林。</w:t>
            </w:r>
            <w:r/>
          </w:p>
          <w:p>
            <w:pPr>
              <w:jc w:val="both"/>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jc w:val="both"/>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9每件包装箱内应附一份详细装箱单和质量合格凭证。</w:t>
            </w:r>
            <w:r/>
          </w:p>
          <w:p>
            <w:pPr>
              <w:jc w:val="both"/>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r>
      <w:tr>
        <w:trPr>
          <w:cantSplit/>
          <w:jc w:val="center"/>
          <w:trHeight w:val="667"/>
        </w:trPr>
        <w:tc>
          <w:tcPr>
            <w:tcW w:w="1560" w:type="dxa"/>
            <w:vAlign w:val="center"/>
            <w:vMerge w:val="continue"/>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1789"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指定现场</w:t>
            </w:r>
            <w:r/>
          </w:p>
        </w:tc>
        <w:tc>
          <w:tcPr>
            <w:tcW w:w="5599" w:type="dxa"/>
            <w:vAlign w:val="center"/>
            <w:textDirection w:val="lrTb"/>
            <w:noWrap w:val="false"/>
          </w:tcPr>
          <w:p>
            <w:pPr>
              <w:jc w:val="both"/>
              <w:spacing w:line="240" w:lineRule="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东台市（采购人指定地点）</w:t>
            </w:r>
            <w:r/>
          </w:p>
        </w:tc>
      </w:tr>
      <w:tr>
        <w:trPr>
          <w:jc w:val="center"/>
          <w:trHeight w:val="772"/>
        </w:trPr>
        <w:tc>
          <w:tcPr>
            <w:tcW w:w="1560"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第二节</w:t>
            </w:r>
            <w:r/>
          </w:p>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第7.2款</w:t>
            </w:r>
            <w:r/>
          </w:p>
        </w:tc>
        <w:tc>
          <w:tcPr>
            <w:tcW w:w="1789"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运输特殊要求</w:t>
            </w:r>
            <w:r/>
          </w:p>
        </w:tc>
        <w:tc>
          <w:tcPr>
            <w:tcW w:w="5599" w:type="dxa"/>
            <w:vAlign w:val="center"/>
            <w:textDirection w:val="lrTb"/>
            <w:noWrap w:val="false"/>
          </w:tcPr>
          <w:p>
            <w:pPr>
              <w:jc w:val="both"/>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1.货物验收合格、交付使用并提供所需单据的日期视为交货日期。</w:t>
            </w:r>
            <w:r/>
          </w:p>
          <w:p>
            <w:pPr>
              <w:pStyle w:val="895"/>
              <w:ind w:firstLine="0"/>
              <w:jc w:val="both"/>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2.乙方在货物发运手续办理完毕后24小时内或货到48小时前通知甲方，以准备接货。（具体时间根据双方实际需求调整）</w:t>
            </w:r>
            <w:r/>
          </w:p>
          <w:p>
            <w:pPr>
              <w:jc w:val="both"/>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3.乙方装运的货物不应超过合同规定的数量或重量。乙方应对超交数量或超重而产生的一切后果负责。</w:t>
            </w:r>
            <w:r/>
          </w:p>
          <w:p>
            <w:pPr>
              <w:pStyle w:val="895"/>
              <w:ind w:firstLine="0"/>
              <w:jc w:val="both"/>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4.货物在交付甲方前发生的货物损失及人员安全风险均由乙方负责。</w:t>
            </w:r>
            <w:r/>
          </w:p>
        </w:tc>
      </w:tr>
      <w:tr>
        <w:trPr>
          <w:jc w:val="center"/>
          <w:trHeight w:val="667"/>
        </w:trPr>
        <w:tc>
          <w:tcPr>
            <w:tcW w:w="1560"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第二节</w:t>
            </w:r>
            <w:r/>
          </w:p>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第7.3款</w:t>
            </w:r>
            <w:r/>
          </w:p>
        </w:tc>
        <w:tc>
          <w:tcPr>
            <w:tcW w:w="1789"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保险要求</w:t>
            </w:r>
            <w:r/>
          </w:p>
        </w:tc>
        <w:tc>
          <w:tcPr>
            <w:tcW w:w="5599" w:type="dxa"/>
            <w:vAlign w:val="center"/>
            <w:textDirection w:val="lrTb"/>
            <w:noWrap w:val="false"/>
          </w:tcPr>
          <w:p>
            <w:pPr>
              <w:jc w:val="both"/>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货物交货前由乙方承担保险义务</w:t>
            </w:r>
            <w:r/>
          </w:p>
        </w:tc>
      </w:tr>
      <w:tr>
        <w:trPr>
          <w:jc w:val="center"/>
          <w:trHeight w:val="736"/>
        </w:trPr>
        <w:tc>
          <w:tcPr>
            <w:tcW w:w="1560"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第二节</w:t>
            </w:r>
            <w:r/>
          </w:p>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第8.2（1）项</w:t>
            </w:r>
            <w:r/>
          </w:p>
        </w:tc>
        <w:tc>
          <w:tcPr>
            <w:tcW w:w="1789"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质量保证期</w:t>
            </w:r>
            <w:r/>
          </w:p>
        </w:tc>
        <w:tc>
          <w:tcPr>
            <w:tcW w:w="5599" w:type="dxa"/>
            <w:vAlign w:val="center"/>
            <w:textDirection w:val="lrTb"/>
            <w:noWrap w:val="false"/>
          </w:tcPr>
          <w:p>
            <w:pPr>
              <w:pStyle w:val="738"/>
              <w:jc w:val="both"/>
              <w:spacing w:before="120" w:beforeAutospacing="0" w:after="120" w:afterAutospacing="0" w:line="240" w:lineRule="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货物免费质保期：不低于三年（质保期以项目最终验收之日起算，包含硬件和软件维护、故障的调试及升级；中标人须保证所供系统的使用期为永久，保证招标人所购产品的有效性和合法性，中标人所投系统如非自主产权，须在签订合同前提供产权所有权人针对招标人的永久使用授权）</w:t>
            </w:r>
            <w:r/>
          </w:p>
        </w:tc>
      </w:tr>
      <w:tr>
        <w:trPr>
          <w:jc w:val="center"/>
          <w:trHeight w:val="736"/>
        </w:trPr>
        <w:tc>
          <w:tcPr>
            <w:tcW w:w="1560"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第二节</w:t>
            </w:r>
            <w:r/>
          </w:p>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第8.2（3）项</w:t>
            </w:r>
            <w:r/>
          </w:p>
        </w:tc>
        <w:tc>
          <w:tcPr>
            <w:tcW w:w="1789"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货物质量缺陷</w:t>
            </w:r>
            <w:r/>
          </w:p>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响应时间</w:t>
            </w:r>
            <w:r/>
          </w:p>
        </w:tc>
        <w:tc>
          <w:tcPr>
            <w:tcW w:w="5599" w:type="dxa"/>
            <w:vAlign w:val="center"/>
            <w:textDirection w:val="lrTb"/>
            <w:noWrap w:val="false"/>
          </w:tcPr>
          <w:p>
            <w:pPr>
              <w:jc w:val="both"/>
              <w:spacing w:line="240" w:lineRule="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在质保保证期内，乙方为用户提供7*24小时电话或电子邮件服务，响应时间不超过30分钟，2小时内远程排除故障，若电话或网络中无法排除故障，维修人员须4小时内到达现场解决，到达现场后12小时内免费修复；无法修复时2日内免费更换配件，维修至正常工作，并保证所换配件满足招标文件要求，如72小时内不能到位的，甲方有权自行维修或更换配件，其费用在乙方合同余款中扣除，且另按500元／天从合同余款中扣除违约金，直至本次维修项通过验收。</w:t>
            </w:r>
            <w:r/>
          </w:p>
        </w:tc>
      </w:tr>
      <w:tr>
        <w:trPr>
          <w:jc w:val="center"/>
          <w:trHeight w:val="736"/>
        </w:trPr>
        <w:tc>
          <w:tcPr>
            <w:tcW w:w="1560"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第二节</w:t>
            </w:r>
            <w:r/>
          </w:p>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第8款补充</w:t>
            </w:r>
            <w:r/>
          </w:p>
        </w:tc>
        <w:tc>
          <w:tcPr>
            <w:tcW w:w="1789"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质量保证要求</w:t>
            </w:r>
            <w:r/>
          </w:p>
        </w:tc>
        <w:tc>
          <w:tcPr>
            <w:tcW w:w="5599"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 在质保期内，乙方应对货物出现的质量及安全问题负责处理解决并承担一切费用（因甲方不当使用的除外）。</w:t>
            </w:r>
            <w:r/>
          </w:p>
          <w:p>
            <w:pPr>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2.乙方应按照国家有关法律法规规章和“三包”规定以及招标文件售后服务要求及投标文件售后服务承诺提供售后服务。</w:t>
            </w:r>
            <w:r/>
          </w:p>
          <w:p>
            <w:pPr>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3.所有货物保修服务方式均为乙方上门保修，由乙方派员到货物使用现场维修，所产生的一切费用由乙方承担（双方视项目情况调整）。</w:t>
            </w:r>
            <w:r/>
          </w:p>
          <w:p>
            <w:pPr>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738"/>
              <w:ind w:firstLine="440"/>
              <w:jc w:val="both"/>
              <w:keepLines w:val="0"/>
              <w:keepNext w:val="0"/>
              <w:pageBreakBefore w:val="0"/>
              <w:spacing w:before="120" w:beforeAutospacing="0" w:after="120" w:afterAutospacing="0"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jc w:val="center"/>
          <w:trHeight w:val="736"/>
        </w:trPr>
        <w:tc>
          <w:tcPr>
            <w:tcW w:w="1560"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第二节</w:t>
            </w:r>
            <w:r/>
          </w:p>
          <w:p>
            <w:pPr>
              <w:jc w:val="center"/>
              <w:spacing w:line="24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第11.1款</w:t>
            </w:r>
            <w:r/>
          </w:p>
        </w:tc>
        <w:tc>
          <w:tcPr>
            <w:tcW w:w="1789"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其他应当保密的信息</w:t>
            </w:r>
            <w:r/>
          </w:p>
        </w:tc>
        <w:tc>
          <w:tcPr>
            <w:tcW w:w="5599" w:type="dxa"/>
            <w:vAlign w:val="center"/>
            <w:textDirection w:val="lrTb"/>
            <w:noWrap w:val="false"/>
          </w:tcPr>
          <w:p>
            <w:pPr>
              <w:pStyle w:val="738"/>
              <w:ind w:firstLine="440"/>
              <w:jc w:val="both"/>
              <w:keepLines w:val="0"/>
              <w:keepNext w:val="0"/>
              <w:pageBreakBefore w:val="0"/>
              <w:spacing w:beforeAutospacing="0" w:afterAutospacing="0"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乙方在任何情况下的泄密给甲方造成不良影响时，甲方有权立即终止合同并不支付全部货款（货款已付时乙方须无条款退还已收到的全部货款），同时支付20%的违约金，并作为不良记录公示。</w:t>
            </w:r>
            <w:r/>
          </w:p>
        </w:tc>
      </w:tr>
      <w:tr>
        <w:trPr>
          <w:jc w:val="center"/>
          <w:trHeight w:val="697"/>
        </w:trPr>
        <w:tc>
          <w:tcPr>
            <w:tcW w:w="1560"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第二节</w:t>
            </w:r>
            <w:r/>
          </w:p>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第12.2款</w:t>
            </w:r>
            <w:r/>
          </w:p>
        </w:tc>
        <w:tc>
          <w:tcPr>
            <w:tcW w:w="1789"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合同价款支付时间及要求</w:t>
            </w:r>
            <w:r/>
          </w:p>
        </w:tc>
        <w:tc>
          <w:tcPr>
            <w:tcW w:w="5599" w:type="dxa"/>
            <w:vAlign w:val="center"/>
            <w:textDirection w:val="lrTb"/>
            <w:noWrap w:val="false"/>
          </w:tcPr>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1.合同款项的支付方式及进度安排：详见合同协议书。</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 发票；</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 制造厂家出具的质量检验证书等；</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 装箱单；</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 甲方加盖公章证明交付使用合格的验收单。</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 报送手续所需的相关货物文件或安装资料。</w:t>
            </w:r>
            <w:r/>
          </w:p>
        </w:tc>
      </w:tr>
      <w:tr>
        <w:trPr>
          <w:jc w:val="center"/>
          <w:trHeight w:val="697"/>
        </w:trPr>
        <w:tc>
          <w:tcPr>
            <w:tcW w:w="1560"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第二节</w:t>
            </w:r>
            <w:r/>
          </w:p>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第13.2款</w:t>
            </w:r>
            <w:r/>
          </w:p>
        </w:tc>
        <w:tc>
          <w:tcPr>
            <w:tcW w:w="1789"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履约保证金不予退还的情形</w:t>
            </w:r>
            <w:r/>
          </w:p>
        </w:tc>
        <w:tc>
          <w:tcPr>
            <w:tcW w:w="5599" w:type="dxa"/>
            <w:vAlign w:val="center"/>
            <w:textDirection w:val="lrTb"/>
            <w:noWrap w:val="false"/>
          </w:tcPr>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除不可抗力情况外，投标人出现下列情形之一的，其履约保证金，招标人将视情节决定不予退还或部分不予退还。</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（1）中标人无正当理由拒绝签订合同的，或者在签订合同时向采购人提出附加条件或者更改合同实质性内容要求的；</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（2）中标人不履行与采购人订立的合同的；</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（3）中标人所供货物或服务不符合招标文件规定要求的；</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（4）中标人采取欺骗、弄虚作假方式投标的或与</w:t>
            </w:r>
            <w:r>
              <w:rPr>
                <w:rFonts w:hint="eastAsia" w:ascii="仿宋" w:hAnsi="仿宋" w:eastAsia="仿宋" w:cs="仿宋"/>
                <w:color w:val="auto"/>
                <w:sz w:val="22"/>
                <w:szCs w:val="22"/>
                <w:highlight w:val="none"/>
                <w:lang w:eastAsia="zh-CN"/>
              </w:rPr>
              <w:t xml:space="preserve">其他</w:t>
            </w:r>
            <w:r>
              <w:rPr>
                <w:rFonts w:hint="eastAsia" w:ascii="仿宋" w:hAnsi="仿宋" w:eastAsia="仿宋" w:cs="仿宋"/>
                <w:color w:val="auto"/>
                <w:sz w:val="22"/>
                <w:szCs w:val="22"/>
                <w:highlight w:val="none"/>
              </w:rPr>
              <w:t xml:space="preserve">投标人串通投标的；</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（5）中标人将合同内容转包、违法分包的；</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（6）中标人故意捏造事实或伪造证明材料，进行虚假恶意投诉或反映的。</w:t>
            </w:r>
            <w:r/>
          </w:p>
        </w:tc>
      </w:tr>
      <w:tr>
        <w:trPr>
          <w:jc w:val="center"/>
          <w:trHeight w:val="736"/>
        </w:trPr>
        <w:tc>
          <w:tcPr>
            <w:tcW w:w="1560"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第二节</w:t>
            </w:r>
            <w:r/>
          </w:p>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第13.3款</w:t>
            </w:r>
            <w:r/>
          </w:p>
        </w:tc>
        <w:tc>
          <w:tcPr>
            <w:tcW w:w="1789"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履约保证金退还时间及逾期退还的违约金</w:t>
            </w:r>
            <w:r/>
          </w:p>
        </w:tc>
        <w:tc>
          <w:tcPr>
            <w:tcW w:w="5599" w:type="dxa"/>
            <w:vAlign w:val="center"/>
            <w:textDirection w:val="lrTb"/>
            <w:noWrap w:val="false"/>
          </w:tcPr>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1、合同履行结束后，甲方应及时退还交纳的履约保证金。</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2、退还方式：退还至投标人缴纳履约保证金的账户。如为保函，在到期时自行失效。</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3、退还时间：验收合格且甲方收到发票后30日内。</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4、退还条件：</w:t>
            </w:r>
            <w:r>
              <w:rPr>
                <w:rFonts w:hint="eastAsia" w:ascii="仿宋" w:hAnsi="仿宋" w:eastAsia="仿宋" w:cs="仿宋"/>
                <w:color w:val="auto"/>
                <w:sz w:val="22"/>
                <w:szCs w:val="22"/>
                <w:highlight w:val="none"/>
                <w:lang w:eastAsia="zh-CN"/>
              </w:rPr>
              <w:t xml:space="preserve">安装调试完毕并经采购人验收合格并移交全部资料</w:t>
            </w:r>
            <w:r>
              <w:rPr>
                <w:rFonts w:hint="eastAsia" w:ascii="仿宋" w:hAnsi="仿宋" w:eastAsia="仿宋" w:cs="仿宋"/>
                <w:color w:val="auto"/>
                <w:sz w:val="22"/>
                <w:szCs w:val="22"/>
                <w:highlight w:val="none"/>
              </w:rPr>
              <w:t xml:space="preserve">，且采购人收到中标人出具的发票。</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jc w:val="center"/>
          <w:trHeight w:val="784"/>
        </w:trPr>
        <w:tc>
          <w:tcPr>
            <w:tcW w:w="1560"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第二节</w:t>
            </w:r>
            <w:r/>
          </w:p>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第14.1（3）项</w:t>
            </w:r>
            <w:r/>
          </w:p>
        </w:tc>
        <w:tc>
          <w:tcPr>
            <w:tcW w:w="1789"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运行监督、维修期限</w:t>
            </w:r>
            <w:r/>
          </w:p>
        </w:tc>
        <w:tc>
          <w:tcPr>
            <w:shd w:val="clear" w:color="auto" w:fill="auto"/>
            <w:tcW w:w="5599" w:type="dxa"/>
            <w:vAlign w:val="center"/>
            <w:textDirection w:val="lrTb"/>
            <w:noWrap w:val="false"/>
          </w:tcPr>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详见合同协议书</w:t>
            </w:r>
            <w:r/>
          </w:p>
        </w:tc>
      </w:tr>
      <w:tr>
        <w:trPr>
          <w:jc w:val="center"/>
          <w:trHeight w:val="784"/>
        </w:trPr>
        <w:tc>
          <w:tcPr>
            <w:tcW w:w="1560"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第二节</w:t>
            </w:r>
            <w:r/>
          </w:p>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第14.1（5）项</w:t>
            </w:r>
            <w:r/>
          </w:p>
        </w:tc>
        <w:tc>
          <w:tcPr>
            <w:tcW w:w="1789"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货物回收的约定</w:t>
            </w:r>
            <w:r/>
          </w:p>
        </w:tc>
        <w:tc>
          <w:tcPr>
            <w:tcW w:w="5599" w:type="dxa"/>
            <w:vAlign w:val="center"/>
            <w:textDirection w:val="lrTb"/>
            <w:noWrap w:val="false"/>
          </w:tcPr>
          <w:p>
            <w:pPr>
              <w:jc w:val="both"/>
              <w:spacing w:line="240" w:lineRule="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w:t>
            </w:r>
            <w:r/>
          </w:p>
        </w:tc>
      </w:tr>
      <w:tr>
        <w:trPr>
          <w:jc w:val="center"/>
          <w:trHeight w:val="736"/>
        </w:trPr>
        <w:tc>
          <w:tcPr>
            <w:tcW w:w="1560"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第二节</w:t>
            </w:r>
            <w:r/>
          </w:p>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第14.1（6）项</w:t>
            </w:r>
            <w:r/>
          </w:p>
        </w:tc>
        <w:tc>
          <w:tcPr>
            <w:tcW w:w="1789"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乙方提供的其他服务</w:t>
            </w:r>
            <w:r/>
          </w:p>
        </w:tc>
        <w:tc>
          <w:tcPr>
            <w:tcW w:w="5599" w:type="dxa"/>
            <w:vAlign w:val="center"/>
            <w:textDirection w:val="lrTb"/>
            <w:noWrap w:val="false"/>
          </w:tcPr>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1.所有货物免费送达甲方指定地点，货物的托运、安装及预装常用软件（如需要）等，均不需另行付费。</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2.项目实施期间乙方人员安全和财产损失均由乙方负责，与甲方无涉。</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3.根据厂方的规定对所供货物进行保修，在质量保证期内，乙方不得收取任何费用；质量保证期满后，乙方对用户货物的维修，只收成本费，并提供终生技术服务。</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4.如甲方使用不当造成货物的毁损，乙方有义务协助维修。</w:t>
            </w:r>
            <w:r/>
          </w:p>
        </w:tc>
      </w:tr>
      <w:tr>
        <w:trPr>
          <w:jc w:val="center"/>
          <w:trHeight w:val="736"/>
        </w:trPr>
        <w:tc>
          <w:tcPr>
            <w:tcW w:w="1560"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第二节</w:t>
            </w:r>
            <w:r/>
          </w:p>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第15.1款</w:t>
            </w:r>
            <w:r/>
          </w:p>
        </w:tc>
        <w:tc>
          <w:tcPr>
            <w:tcW w:w="1789"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修理、重</w:t>
            </w:r>
            <w:r>
              <w:rPr>
                <w:rFonts w:hint="eastAsia" w:ascii="仿宋" w:hAnsi="仿宋" w:eastAsia="仿宋" w:cs="仿宋"/>
                <w:color w:val="auto"/>
                <w:sz w:val="22"/>
                <w:szCs w:val="22"/>
                <w:highlight w:val="none"/>
                <w:lang w:eastAsia="zh-CN"/>
              </w:rPr>
              <w:t xml:space="preserve">做</w:t>
            </w:r>
            <w:r>
              <w:rPr>
                <w:rFonts w:hint="eastAsia" w:ascii="仿宋" w:hAnsi="仿宋" w:eastAsia="仿宋" w:cs="仿宋"/>
                <w:color w:val="auto"/>
                <w:sz w:val="22"/>
                <w:szCs w:val="22"/>
                <w:highlight w:val="none"/>
              </w:rPr>
              <w:t xml:space="preserve">、更换相关具体规定</w:t>
            </w:r>
            <w:r/>
          </w:p>
        </w:tc>
        <w:tc>
          <w:tcPr>
            <w:tcW w:w="5599" w:type="dxa"/>
            <w:vAlign w:val="center"/>
            <w:textDirection w:val="lrTb"/>
            <w:noWrap w:val="false"/>
          </w:tcPr>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详见合同通用条款8.2条款、合同专用条款第二节第8款补充条款及合同专用条款中索赔条款。</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jc w:val="center"/>
          <w:trHeight w:val="736"/>
        </w:trPr>
        <w:tc>
          <w:tcPr>
            <w:tcW w:w="1560"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第二节</w:t>
            </w:r>
            <w:r/>
          </w:p>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第15.2（2）项</w:t>
            </w:r>
            <w:r/>
          </w:p>
        </w:tc>
        <w:tc>
          <w:tcPr>
            <w:tcW w:w="1789"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迟延交货赔偿费</w:t>
            </w:r>
            <w:r/>
          </w:p>
        </w:tc>
        <w:tc>
          <w:tcPr>
            <w:tcW w:w="5599" w:type="dxa"/>
            <w:vAlign w:val="center"/>
            <w:textDirection w:val="lrTb"/>
            <w:noWrap w:val="false"/>
          </w:tcPr>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1.乙方应按照“开标（报价）一览表”中规定的交货期或承诺交货和提供服务，并交付甲方验收使用。</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2.如果乙方无正当理由拖延交货，将受到以下制裁：加收误期赔偿或终止合同。</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 乙方逾期交付货物的，乙方应按逾期交货总额每日0.5% 向甲方支付违约金，由甲方从待付货款中扣除。逾期超过约定日期</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个工作日不能交货的，甲方可解除本合同。乙方因逾期交货或因其他违约行为导致甲方解除合同的，乙方应向甲方支付合同总值</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rPr>
              <w:t xml:space="preserve">的违约金，如造成甲方损失超过违约金的，超出部分由乙方继续承担赔偿责任。</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4.如乙方不能交付货物，或者有违法转包他人情形，乙方应向甲方支付合同总价</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rPr>
              <w:t xml:space="preserve">的滞纳金。</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r>
      <w:tr>
        <w:trPr>
          <w:jc w:val="center"/>
          <w:trHeight w:val="736"/>
        </w:trPr>
        <w:tc>
          <w:tcPr>
            <w:tcW w:w="1560"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第二节</w:t>
            </w:r>
            <w:r/>
          </w:p>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第15.3款</w:t>
            </w:r>
            <w:r/>
          </w:p>
        </w:tc>
        <w:tc>
          <w:tcPr>
            <w:tcW w:w="1789"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逾期付款利息</w:t>
            </w:r>
            <w:r/>
          </w:p>
        </w:tc>
        <w:tc>
          <w:tcPr>
            <w:tcW w:w="5599" w:type="dxa"/>
            <w:vAlign w:val="center"/>
            <w:textDirection w:val="lrTb"/>
            <w:noWrap w:val="false"/>
          </w:tcPr>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甲方无故逾期验收和办理合同款项支付手续的, 将按银行同期存款利率支付逾期付款部分的利息。</w:t>
            </w:r>
            <w:r/>
          </w:p>
        </w:tc>
      </w:tr>
      <w:tr>
        <w:trPr>
          <w:jc w:val="center"/>
          <w:trHeight w:val="876"/>
        </w:trPr>
        <w:tc>
          <w:tcPr>
            <w:tcBorders>
              <w:bottom w:val="single" w:color="000000" w:sz="2" w:space="0"/>
              <w:right w:val="single" w:color="000000" w:sz="2" w:space="0"/>
            </w:tcBorders>
            <w:tcW w:w="1560"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第二节</w:t>
            </w:r>
            <w:r/>
          </w:p>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其他违约责任</w:t>
            </w:r>
            <w:r/>
          </w:p>
        </w:tc>
        <w:tc>
          <w:tcPr>
            <w:tcBorders>
              <w:left w:val="single" w:color="000000" w:sz="2" w:space="0"/>
              <w:bottom w:val="single" w:color="000000" w:sz="2" w:space="0"/>
            </w:tcBorders>
            <w:tcW w:w="5599" w:type="dxa"/>
            <w:vAlign w:val="center"/>
            <w:textDirection w:val="lrTb"/>
            <w:noWrap w:val="false"/>
          </w:tcPr>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1、乙方交付合同标的的标准不符合合同规定及招标文件规定标准的，甲方有权拒绝接受合同标的，并可单方面解除合同。</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 xml:space="preserve">2、详见附件</w:t>
            </w:r>
            <w:r/>
          </w:p>
        </w:tc>
      </w:tr>
      <w:tr>
        <w:trPr>
          <w:jc w:val="center"/>
          <w:trHeight w:val="90"/>
        </w:trPr>
        <w:tc>
          <w:tcPr>
            <w:tcBorders>
              <w:top w:val="single" w:color="000000" w:sz="2" w:space="0"/>
              <w:right w:val="single" w:color="000000" w:sz="2" w:space="0"/>
            </w:tcBorders>
            <w:tcW w:w="1560"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第二节</w:t>
            </w:r>
            <w:r/>
          </w:p>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解决争议的方法</w:t>
            </w:r>
            <w:r/>
          </w:p>
        </w:tc>
        <w:tc>
          <w:tcPr>
            <w:tcBorders>
              <w:top w:val="single" w:color="000000" w:sz="2" w:space="0"/>
              <w:left w:val="single" w:color="000000" w:sz="2" w:space="0"/>
            </w:tcBorders>
            <w:tcW w:w="5599" w:type="dxa"/>
            <w:vAlign w:val="center"/>
            <w:textDirection w:val="lrTb"/>
            <w:noWrap w:val="false"/>
          </w:tcPr>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1.因本合同及合同有关事项发生的争议，由双方协商解决，协商不成时，按下列第</w:t>
            </w:r>
            <w:r>
              <w:rPr>
                <w:rFonts w:hint="eastAsia" w:ascii="仿宋" w:hAnsi="仿宋" w:eastAsia="仿宋" w:cs="仿宋"/>
                <w:color w:val="auto"/>
                <w:sz w:val="22"/>
                <w:szCs w:val="22"/>
                <w:highlight w:val="none"/>
                <w:u w:val="single"/>
              </w:rPr>
              <w:t xml:space="preserve">（2）</w:t>
            </w:r>
            <w:r>
              <w:rPr>
                <w:rFonts w:hint="eastAsia" w:ascii="仿宋" w:hAnsi="仿宋" w:eastAsia="仿宋" w:cs="仿宋"/>
                <w:color w:val="auto"/>
                <w:sz w:val="22"/>
                <w:szCs w:val="22"/>
                <w:highlight w:val="none"/>
              </w:rPr>
              <w:t xml:space="preserve">种方式解决：</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（1）向仲裁委员会申请仲裁，仲裁地点为</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u w:val="single"/>
                <w:lang w:val="en-US" w:eastAsia="zh-CN"/>
              </w:rPr>
              <w:t xml:space="preserve">/</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 xml:space="preserve">；</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（2）向甲方所在地人民法院起诉。</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 纠纷解决办法</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jc w:val="center"/>
          <w:trHeight w:val="770"/>
        </w:trPr>
        <w:tc>
          <w:tcPr>
            <w:tcW w:w="1560"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第二节</w:t>
            </w:r>
            <w:r/>
          </w:p>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第23.1款</w:t>
            </w:r>
            <w:r/>
          </w:p>
        </w:tc>
        <w:tc>
          <w:tcPr>
            <w:tcW w:w="1789"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bCs/>
                <w:color w:val="auto"/>
                <w:sz w:val="22"/>
                <w:szCs w:val="22"/>
                <w:highlight w:val="none"/>
              </w:rPr>
              <w:t xml:space="preserve">其他专用条款</w:t>
            </w:r>
            <w:r/>
          </w:p>
        </w:tc>
        <w:tc>
          <w:tcPr>
            <w:tcW w:w="5599" w:type="dxa"/>
            <w:vAlign w:val="center"/>
            <w:textDirection w:val="lrTb"/>
            <w:noWrap w:val="false"/>
          </w:tcPr>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3.验收不合格的货物，乙方应在</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u w:val="single"/>
                <w:lang w:val="en-US" w:eastAsia="zh-CN"/>
              </w:rPr>
              <w:t xml:space="preserve">10</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 xml:space="preserve">个工作日内予以更换，逾期按交货延误予以处罚。乙方所交付的货物品种、型号、规格不符合合同规定的，甲方有权拒收。甲方拒收的，乙方向甲方支付货款总额</w:t>
            </w:r>
            <w:r>
              <w:rPr>
                <w:rFonts w:hint="eastAsia" w:ascii="仿宋" w:hAnsi="仿宋" w:eastAsia="仿宋" w:cs="仿宋"/>
                <w:color w:val="auto"/>
                <w:sz w:val="22"/>
                <w:szCs w:val="22"/>
                <w:highlight w:val="none"/>
                <w:u w:val="single"/>
                <w:lang w:val="en-US" w:eastAsia="zh-CN"/>
              </w:rPr>
              <w:t xml:space="preserve">5</w:t>
            </w:r>
            <w:r>
              <w:rPr>
                <w:rFonts w:hint="eastAsia" w:ascii="仿宋" w:hAnsi="仿宋" w:eastAsia="仿宋" w:cs="仿宋"/>
                <w:color w:val="auto"/>
                <w:sz w:val="22"/>
                <w:szCs w:val="22"/>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4.货物验收要求</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（1）依照招标文件要求对全部货物、型号、规格、数量、外型、外观、包装及资料、文件（如装箱单、保修单、随箱介质等）进行验收。</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（2）甲方与乙方对货物到货后共同进行开箱检查，出现损坏、数量不全或产品不对等问题时，由乙方负责解决。</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（3）甲方有权从乙方所送货物中任意抽出不同型号的产品送采购人所在地的质检部门检验，如果检验合格，检验费由甲方负担；如果检验不合格，则检验费由乙方负担。</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（4）乙方应按照本合同规定的时间、地点和方式向乙方交付货物。</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交货时间：</w:t>
            </w:r>
            <w:r>
              <w:rPr>
                <w:rFonts w:hint="eastAsia" w:ascii="仿宋" w:hAnsi="仿宋" w:eastAsia="仿宋" w:cs="仿宋"/>
                <w:color w:val="auto"/>
                <w:sz w:val="22"/>
                <w:szCs w:val="22"/>
                <w:highlight w:val="none"/>
                <w:lang w:val="en-US" w:eastAsia="zh-CN"/>
              </w:rPr>
              <w:t xml:space="preserve">合同签订之日起</w:t>
            </w:r>
            <w:r>
              <w:rPr>
                <w:rFonts w:hint="eastAsia" w:ascii="仿宋" w:hAnsi="仿宋" w:eastAsia="仿宋" w:cs="仿宋"/>
                <w:color w:val="auto"/>
                <w:sz w:val="22"/>
                <w:szCs w:val="22"/>
                <w:highlight w:val="none"/>
                <w:u w:val="single"/>
                <w:lang w:val="en-US" w:eastAsia="zh-CN"/>
              </w:rPr>
              <w:t xml:space="preserve">30</w:t>
            </w:r>
            <w:r>
              <w:rPr>
                <w:rFonts w:hint="eastAsia" w:ascii="仿宋" w:hAnsi="仿宋" w:eastAsia="仿宋" w:cs="仿宋"/>
                <w:color w:val="auto"/>
                <w:sz w:val="22"/>
                <w:szCs w:val="22"/>
                <w:highlight w:val="none"/>
              </w:rPr>
              <w:t xml:space="preserve">日</w:t>
            </w:r>
            <w:r>
              <w:rPr>
                <w:rFonts w:hint="eastAsia" w:ascii="仿宋" w:hAnsi="仿宋" w:eastAsia="仿宋" w:cs="仿宋"/>
                <w:color w:val="auto"/>
                <w:sz w:val="22"/>
                <w:szCs w:val="22"/>
                <w:highlight w:val="none"/>
                <w:lang w:val="en-US" w:eastAsia="zh-CN"/>
              </w:rPr>
              <w:t xml:space="preserve">内</w:t>
            </w:r>
            <w:r>
              <w:rPr>
                <w:rFonts w:hint="eastAsia" w:ascii="仿宋" w:hAnsi="仿宋" w:eastAsia="仿宋" w:cs="仿宋"/>
                <w:color w:val="auto"/>
                <w:sz w:val="22"/>
                <w:szCs w:val="22"/>
                <w:highlight w:val="none"/>
              </w:rPr>
              <w:t xml:space="preserve">完成供货（安装）并交付使用。</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交货地点：</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u w:val="single"/>
                <w:lang w:val="en-US" w:eastAsia="zh-CN"/>
              </w:rPr>
              <w:t xml:space="preserve">东台市（采购人指定地点）</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 xml:space="preserve">。</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（5）甲方应在全部货物到货安装完毕后</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乙方提出验收申请之日起</w:t>
            </w:r>
            <w:r>
              <w:rPr>
                <w:rFonts w:hint="eastAsia" w:ascii="仿宋" w:hAnsi="仿宋" w:eastAsia="仿宋" w:cs="仿宋"/>
                <w:color w:val="auto"/>
                <w:sz w:val="22"/>
                <w:szCs w:val="22"/>
                <w:highlight w:val="none"/>
              </w:rPr>
              <w:t xml:space="preserve">的</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u w:val="single"/>
                <w:lang w:val="en-US" w:eastAsia="zh-CN"/>
              </w:rPr>
              <w:t xml:space="preserve">7</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 xml:space="preserve">日内进行验收，验收包括：型号、规格、数量、外观是否完好，安装调试是否合格等。验收合格后甲方应在验收报告上签字盖章。</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和经济赔偿责任。</w:t>
            </w:r>
            <w:r/>
          </w:p>
        </w:tc>
      </w:tr>
      <w:tr>
        <w:trPr>
          <w:jc w:val="center"/>
          <w:trHeight w:val="770"/>
        </w:trPr>
        <w:tc>
          <w:tcPr>
            <w:tcW w:w="1560"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1789" w:type="dxa"/>
            <w:vAlign w:val="center"/>
            <w:textDirection w:val="lrTb"/>
            <w:noWrap w:val="false"/>
          </w:tcPr>
          <w:p>
            <w:pPr>
              <w:jc w:val="center"/>
              <w:spacing w:line="240" w:lineRule="auto"/>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税费</w:t>
            </w:r>
            <w:r/>
          </w:p>
        </w:tc>
        <w:tc>
          <w:tcPr>
            <w:tcW w:w="5599" w:type="dxa"/>
            <w:vAlign w:val="center"/>
            <w:textDirection w:val="lrTb"/>
            <w:noWrap w:val="false"/>
          </w:tcPr>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1.中国政府根据现行税法规定对甲方征收的与本合同有关的一切税费均由甲方负担（免税部分除外），招标文件另有规定的除外。</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2.中国政府根据现行税法规定对乙方征收的与本合同有关的一切税费均由乙方负担（免税部分除外）。</w:t>
            </w:r>
            <w:r/>
          </w:p>
        </w:tc>
      </w:tr>
      <w:tr>
        <w:trPr>
          <w:jc w:val="center"/>
          <w:trHeight w:val="770"/>
        </w:trPr>
        <w:tc>
          <w:tcPr>
            <w:tcW w:w="1560"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1789" w:type="dxa"/>
            <w:vAlign w:val="center"/>
            <w:textDirection w:val="lrTb"/>
            <w:noWrap w:val="false"/>
          </w:tcPr>
          <w:p>
            <w:pPr>
              <w:jc w:val="center"/>
              <w:spacing w:line="240" w:lineRule="auto"/>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伴随服务</w:t>
            </w:r>
            <w:r/>
          </w:p>
        </w:tc>
        <w:tc>
          <w:tcPr>
            <w:tcW w:w="5599" w:type="dxa"/>
            <w:vAlign w:val="center"/>
            <w:textDirection w:val="lrTb"/>
            <w:noWrap w:val="false"/>
          </w:tcPr>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1.乙方应按照国家</w:t>
            </w:r>
            <w:r>
              <w:rPr>
                <w:rFonts w:hint="eastAsia" w:ascii="仿宋" w:hAnsi="仿宋" w:eastAsia="仿宋" w:cs="仿宋"/>
                <w:b/>
                <w:color w:val="auto"/>
                <w:sz w:val="22"/>
                <w:szCs w:val="22"/>
                <w:highlight w:val="none"/>
              </w:rPr>
              <w:t xml:space="preserve">“新三包”</w:t>
            </w:r>
            <w:r>
              <w:rPr>
                <w:rFonts w:hint="eastAsia" w:ascii="仿宋" w:hAnsi="仿宋" w:eastAsia="仿宋" w:cs="仿宋"/>
                <w:color w:val="auto"/>
                <w:sz w:val="22"/>
                <w:szCs w:val="22"/>
                <w:highlight w:val="none"/>
              </w:rPr>
              <w:t xml:space="preserve">规定和合同中所附的服务承诺提供服务。</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2.除第1条规定外，乙方还应提供下列服务：</w:t>
            </w:r>
            <w:r/>
          </w:p>
          <w:p>
            <w:pPr>
              <w:ind w:firstLine="442"/>
              <w:jc w:val="both"/>
              <w:keepLines w:val="0"/>
              <w:keepNext w:val="0"/>
              <w:pageBreakBefore w:val="0"/>
              <w:spacing w:line="240" w:lineRule="auto"/>
              <w:widowControl w:val="off"/>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(1) 招标文件中的“服务要求”所规定的服务内容以及投标文件承诺提供的其他服务内容；</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 负责货物的开孔，货物的现场安装；</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 提供货物组装和维修所需的工具；</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 在合同中乙方承诺的质保期限内对所提供货物正常使用实施监督、维修，但前提条件是该服务并不能免除乙方在质量保证期内应承担的义务；</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 在货物交货现场就货物的安装、启用、维护等对甲方人员进行培训。</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3.伴随服务的费用应含在合同价中，不单独进行支付。</w:t>
            </w:r>
            <w:r/>
          </w:p>
        </w:tc>
      </w:tr>
      <w:tr>
        <w:trPr>
          <w:jc w:val="center"/>
          <w:trHeight w:val="770"/>
        </w:trPr>
        <w:tc>
          <w:tcPr>
            <w:tcW w:w="1560"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1789" w:type="dxa"/>
            <w:vAlign w:val="center"/>
            <w:textDirection w:val="lrTb"/>
            <w:noWrap w:val="false"/>
          </w:tcPr>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索赔</w:t>
            </w:r>
            <w:r/>
          </w:p>
          <w:p>
            <w:pPr>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5599" w:type="dxa"/>
            <w:vAlign w:val="center"/>
            <w:textDirection w:val="lrTb"/>
            <w:noWrap w:val="false"/>
          </w:tcPr>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1.甲方有权根据当地质检部门出具的检验报告，向乙方提出索赔。</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2.根据合同规定的检验期和质量保证期内，如果乙方对甲方提出的索赔和差异负有责任，乙方应按照甲方同意的下列一种或多种方式解决索赔事宜：</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 乙方同意退货，并用合同中规定的货币将货款退还给甲方，并承担由此发生的一切损失和费用，包括利息、银行手续费、运费、保险费、检验费、仓储费、装卸费以及为保护退回货物所需的其它必要费用。</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 根据货物的低劣程度、损坏程度以及甲方所遭受损失的数额，乙方必须降低货物的价格。</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jc w:val="center"/>
          <w:trHeight w:val="770"/>
        </w:trPr>
        <w:tc>
          <w:tcPr>
            <w:tcW w:w="156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1789"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合同生效</w:t>
            </w:r>
            <w:r>
              <w:rPr>
                <w:rFonts w:hint="eastAsia" w:ascii="仿宋" w:hAnsi="仿宋" w:eastAsia="仿宋" w:cs="仿宋"/>
                <w:color w:val="auto"/>
                <w:sz w:val="22"/>
                <w:szCs w:val="22"/>
                <w:highlight w:val="none"/>
                <w:lang w:eastAsia="zh-CN"/>
              </w:rPr>
              <w:t xml:space="preserve">及其他</w:t>
            </w:r>
            <w:r/>
          </w:p>
          <w:p>
            <w:pPr>
              <w:jc w:val="center"/>
              <w:keepLines w:val="0"/>
              <w:keepNext w:val="0"/>
              <w:pageBreakBefore w:val="0"/>
              <w:spacing w:line="240" w:lineRule="auto"/>
              <w:widowControl w:val="off"/>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r>
            <w:r/>
          </w:p>
        </w:tc>
        <w:tc>
          <w:tcPr>
            <w:tcW w:w="5599" w:type="dxa"/>
            <w:vAlign w:val="center"/>
            <w:textDirection w:val="lrTb"/>
            <w:noWrap w:val="false"/>
          </w:tcPr>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 合同经甲方、乙方盖章后生效。</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 货物交付使用后所发生的合同纠纷，由甲方与乙方协商处理。</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ind w:firstLine="440"/>
              <w:jc w:val="both"/>
              <w:keepLines w:val="0"/>
              <w:keepNext w:val="0"/>
              <w:pageBreakBefore w:val="0"/>
              <w:spacing w:line="24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4.本合同应按照中华人民共和国的现行法律进行解释。本合同未尽事宜，遵照《民法典》、《政府采购法》、国家法律法规、行业规范等有关条文执行。</w:t>
            </w:r>
            <w:r/>
          </w:p>
        </w:tc>
      </w:tr>
    </w:tbl>
    <w:p>
      <w:pPr>
        <w:pStyle w:val="738"/>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738"/>
        <w:jc w:val="center"/>
        <w:spacing w:before="120" w:beforeAutospacing="0" w:after="120" w:afterAutospacing="0" w:line="0" w:lineRule="atLeast"/>
        <w:rPr>
          <w:color w:val="auto"/>
          <w:highlight w:val="none"/>
        </w:rPr>
      </w:pPr>
      <w:r>
        <w:rPr>
          <w:rFonts w:hint="eastAsia" w:ascii="黑体" w:hAnsi="宋体" w:eastAsia="黑体" w:cs="黑体"/>
          <w:color w:val="auto"/>
          <w:sz w:val="44"/>
          <w:szCs w:val="44"/>
          <w:highlight w:val="none"/>
        </w:rPr>
        <w:t xml:space="preserve">第</w:t>
      </w:r>
      <w:bookmarkEnd w:id="157"/>
      <w:r>
        <w:rPr>
          <w:rFonts w:hint="eastAsia" w:ascii="黑体" w:hAnsi="宋体" w:eastAsia="黑体" w:cs="黑体"/>
          <w:color w:val="auto"/>
          <w:sz w:val="44"/>
          <w:szCs w:val="44"/>
          <w:highlight w:val="none"/>
        </w:rPr>
        <w:t xml:space="preserve">四章 采购需求</w:t>
      </w:r>
      <w:bookmarkEnd w:id="158"/>
      <w:r/>
      <w:bookmarkEnd w:id="159"/>
      <w:r/>
      <w:bookmarkEnd w:id="160"/>
      <w:r/>
      <w:bookmarkEnd w:id="161"/>
      <w:r/>
      <w:bookmarkEnd w:id="162"/>
      <w:r/>
      <w:r/>
    </w:p>
    <w:p>
      <w:pPr>
        <w:pStyle w:val="738"/>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bookmarkStart w:id="170" w:name="_Toc49090575"/>
      <w:r/>
      <w:bookmarkStart w:id="171" w:name="_Toc26554093"/>
      <w:r>
        <w:rPr>
          <w:rFonts w:hint="eastAsia" w:ascii="宋体" w:hAnsi="宋体" w:eastAsia="宋体" w:cs="宋体"/>
          <w:color w:val="auto"/>
          <w:sz w:val="24"/>
          <w:szCs w:val="24"/>
          <w:highlight w:val="none"/>
        </w:rPr>
        <w:t xml:space="preserve">项目属性:货物类项目</w:t>
      </w:r>
      <w:r>
        <w:rPr>
          <w:rFonts w:hint="eastAsia" w:ascii="宋体" w:hAnsi="宋体" w:eastAsia="宋体" w:cs="宋体"/>
          <w:color w:val="auto"/>
          <w:sz w:val="24"/>
          <w:szCs w:val="24"/>
          <w:highlight w:val="none"/>
          <w:shd w:val="clear" w:color="auto" w:fill="auto"/>
        </w:rPr>
        <w:t xml:space="preserve">。（此为固定内容）</w:t>
      </w:r>
      <w:bookmarkEnd w:id="170"/>
      <w:r/>
      <w:bookmarkEnd w:id="171"/>
      <w:r/>
      <w:r/>
    </w:p>
    <w:p>
      <w:pPr>
        <w:pStyle w:val="738"/>
        <w:ind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pStyle w:val="738"/>
        <w:ind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keepLines w:val="0"/>
        <w:keepNext w:val="0"/>
        <w:pageBreakBefore w:val="0"/>
        <w:spacing w:line="460" w:lineRule="exact"/>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其内容包含：</w:t>
      </w:r>
      <w:r/>
    </w:p>
    <w:p>
      <w:pPr>
        <w:numPr>
          <w:ilvl w:val="0"/>
          <w:numId w:val="0"/>
        </w:numPr>
        <w:ind w:firstLine="562"/>
        <w:keepLines w:val="0"/>
        <w:keepNext w:val="0"/>
        <w:pageBreakBefore w:val="0"/>
        <w:spacing w:line="460" w:lineRule="exact"/>
        <w:widowControl w:val="off"/>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rPr>
        <w:t xml:space="preserve">一、</w:t>
      </w:r>
      <w:r>
        <w:rPr>
          <w:rFonts w:hint="eastAsia" w:asciiTheme="minorEastAsia" w:hAnsiTheme="minorEastAsia" w:eastAsiaTheme="minorEastAsia" w:cstheme="minorEastAsia"/>
          <w:b/>
          <w:bCs/>
          <w:color w:val="auto"/>
          <w:sz w:val="24"/>
          <w:szCs w:val="24"/>
          <w:highlight w:val="none"/>
          <w:lang w:val="en-US" w:eastAsia="zh-CN"/>
        </w:rPr>
        <w:t xml:space="preserve">采购内容</w:t>
      </w:r>
      <w:r>
        <w:rPr>
          <w:rFonts w:hint="eastAsia" w:asciiTheme="minorEastAsia" w:hAnsiTheme="minorEastAsia" w:cstheme="minorEastAsia"/>
          <w:b/>
          <w:bCs/>
          <w:color w:val="auto"/>
          <w:sz w:val="24"/>
          <w:szCs w:val="24"/>
          <w:highlight w:val="none"/>
          <w:lang w:val="en-US" w:eastAsia="zh-CN"/>
        </w:rPr>
        <w:t xml:space="preserve">：</w:t>
      </w:r>
      <w:r/>
    </w:p>
    <w:tbl>
      <w:tblPr>
        <w:tblStyle w:val="715"/>
        <w:tblW w:w="1049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8"/>
        <w:gridCol w:w="5893"/>
        <w:gridCol w:w="1982"/>
        <w:gridCol w:w="1986"/>
      </w:tblGrid>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单位</w:t>
            </w: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穿戴式学生VR终端</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台</w:t>
            </w: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穿戴式学生VR终端系统</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套</w:t>
            </w: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教师端VR教学管理系统</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套</w:t>
            </w: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融合学科VR教学资源</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套</w:t>
            </w: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小学科学VR教学系统</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套</w:t>
            </w: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设备充电消毒一体柜</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台</w:t>
            </w: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无线AP</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台</w:t>
            </w: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裸眼XR便携终端</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台</w:t>
            </w: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裸眼XR便携终端配件包</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套</w:t>
            </w:r>
            <w:r/>
          </w:p>
        </w:tc>
      </w:tr>
      <w:tr>
        <w:trPr>
          <w:jc w:val="center"/>
          <w:trHeight w:val="31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偏振式3DVR便携式终端</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套</w:t>
            </w: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观察眼镜</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副</w:t>
            </w: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VR资源制作软件</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套</w:t>
            </w: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3D 智慧黑板</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台</w:t>
            </w: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八边形操作台</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套</w:t>
            </w: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全钢讲台</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台</w:t>
            </w: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个</w:t>
            </w: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套</w:t>
            </w: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教室文化背景墙</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平方</w:t>
            </w: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铝方通造型</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平米</w:t>
            </w: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室内地板</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default"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平米</w:t>
            </w:r>
            <w:r/>
          </w:p>
        </w:tc>
      </w:tr>
    </w:tbl>
    <w:p>
      <w:pPr>
        <w:numPr>
          <w:ilvl w:val="0"/>
          <w:numId w:val="0"/>
        </w:numPr>
        <w:ind w:firstLine="482"/>
        <w:spacing w:line="460" w:lineRule="exact"/>
        <w:rPr>
          <w:rFonts w:hint="default" w:asciiTheme="minorEastAsia" w:hAnsiTheme="minorEastAsia" w:cstheme="minorEastAsia"/>
          <w:b/>
          <w:bCs/>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 xml:space="preserve">本项目核心产品为：偏振式3DVR便携式终端</w:t>
      </w:r>
      <w:r/>
    </w:p>
    <w:p>
      <w:pPr>
        <w:numPr>
          <w:ilvl w:val="0"/>
          <w:numId w:val="0"/>
        </w:numPr>
        <w:ind w:firstLine="482"/>
        <w:spacing w:line="460" w:lineRule="exact"/>
        <w:rPr>
          <w:rFonts w:hint="eastAsia" w:asciiTheme="minorEastAsia" w:hAnsiTheme="minorEastAsia" w:cstheme="minorEastAsia"/>
          <w:b/>
          <w:bCs/>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 xml:space="preserve">二、技术参数及要求：</w:t>
      </w:r>
      <w:r/>
    </w:p>
    <w:tbl>
      <w:tblPr>
        <w:tblStyle w:val="715"/>
        <w:tblW w:w="963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90"/>
        <w:gridCol w:w="2526"/>
        <w:gridCol w:w="5662"/>
        <w:gridCol w:w="427"/>
        <w:gridCol w:w="531"/>
      </w:tblGrid>
      <w:tr>
        <w:trPr>
          <w:trHeight w:val="625"/>
        </w:trPr>
        <w:tc>
          <w:tcPr>
            <w:shd w:val="clear" w:color="auto" w:fill="auto"/>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5662"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r>
      <w:tr>
        <w:trPr>
          <w:trHeight w:val="646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穿戴式学2生VR终端</w:t>
            </w:r>
            <w:r/>
          </w:p>
        </w:tc>
        <w:tc>
          <w:tcPr>
            <w:shd w:val="clear" w:color="auto" w:fill="auto"/>
            <w:tcBorders>
              <w:top w:val="single" w:color="000000" w:sz="4" w:space="0"/>
              <w:left w:val="single" w:color="000000" w:sz="4" w:space="0"/>
              <w:bottom w:val="single" w:color="000000" w:sz="4" w:space="0"/>
              <w:right w:val="single" w:color="000000" w:sz="4" w:space="0"/>
            </w:tcBorders>
            <w:tcW w:w="5662" w:type="dxa"/>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1.CPU：≥8核64位，主频≥1.8GHz；GPU主频≥500MHz。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2.内存：≥6GB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3.存储：≥256GB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4.无线：支持2X2 MIMO，WIFI6，2.4G/5G双频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5.蓝牙：支持BT5.1及以上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6.Android：Android 10 及以上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7.屏幕：≥5.5 inch x 1 SFR TFT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8.分辨率：≥3664x1920，刷新率：≥90Hz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9.视场角：≥90°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10瞳距调节：支持物理瞳距调节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11.传感器：9轴，1KHz采样频率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12.P-senor：人脸佩戴感应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13.前置摄像头：鱼眼摄像头≥4，支持头部6DoF定位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14.手柄：6DoF体感双手柄 ，支持光学定位、线性振动马达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15.机身按键：电源键，APP键（返回键），确认键，Home键，音量加，音量减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16.人体工程设计：采用电池后置，可替换泡棉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17.电池：支持QC3.0快速充电,≥5000mAh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18.扬声器：内置双立体声喇叭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19.麦克风：双麦克降噪，全指向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20.USB :支持usbType-C 3.0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21.Led灯：三色Led 显示开机，关机，充电状态</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r>
      <w:tr>
        <w:trPr>
          <w:trHeight w:val="309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穿戴式学生VR终端系统</w:t>
            </w:r>
            <w:r/>
          </w:p>
        </w:tc>
        <w:tc>
          <w:tcPr>
            <w:shd w:val="clear" w:color="auto" w:fill="auto"/>
            <w:tcBorders>
              <w:top w:val="single" w:color="000000" w:sz="4" w:space="0"/>
              <w:left w:val="single" w:color="000000" w:sz="4" w:space="0"/>
              <w:bottom w:val="single" w:color="000000" w:sz="4" w:space="0"/>
              <w:right w:val="single" w:color="000000" w:sz="4" w:space="0"/>
            </w:tcBorders>
            <w:tcW w:w="5662" w:type="dxa"/>
            <w:vAlign w:val="top"/>
            <w:textDirection w:val="lrTb"/>
            <w:noWrap w:val="false"/>
          </w:tcPr>
          <w:p>
            <w:pPr>
              <w:numPr>
                <w:ilvl w:val="0"/>
                <w:numId w:val="7"/>
              </w:num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支持开机自动进入设备系统，屏蔽与教育教学无关的图片、影视、游戏等内容；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2.支持对已有 VR 资源进行资源集成、统一管理，学生端内部支持使用手柄进行选择、切换课程资源。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3.兼容本项目中的所有VR资源，并能够动态添加新的VR资源。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4.课程资源参考“学科-教材-章节-课程资源”的形式直观展现，支持检查资源是否有新版本更新。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★5.支持学生自由选择课程资源的自由学习模式和教师端锁定学生VR终端，教师指定打开课程资源的教师管控模式（提供上述功能的证明材料包括但不限于软件功能性截图、产品说明书或官网截图等）。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6.接受并执行控制端的各种命令，同时向控制端反馈设备状态。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7.支持新手引导功能（提供上述功能的证明材料包括但不限于软件功能性截图、产品说明书或官网截图等）。</w:t>
            </w:r>
            <w:r/>
          </w:p>
          <w:p>
            <w:pPr>
              <w:numPr>
                <w:ilvl w:val="-1"/>
                <w:numId w:val="0"/>
              </w:num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8.支持提交VR资源成绩至VR教学管理系统。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★9.可调整视角观察场景现象（提供上述功能的证明材料包括但不限于软件功能性截图、产品说明书或官网截图等）。</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r>
      <w:tr>
        <w:trPr>
          <w:trHeight w:val="16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教师端VR教学管理系统</w:t>
            </w:r>
            <w:r/>
          </w:p>
        </w:tc>
        <w:tc>
          <w:tcPr>
            <w:shd w:val="clear" w:color="auto" w:fill="auto"/>
            <w:tcBorders>
              <w:top w:val="single" w:color="000000" w:sz="4" w:space="0"/>
              <w:left w:val="single" w:color="000000" w:sz="4" w:space="0"/>
              <w:bottom w:val="single" w:color="000000" w:sz="4" w:space="0"/>
              <w:right w:val="single" w:color="000000" w:sz="4" w:space="0"/>
            </w:tcBorders>
            <w:tcW w:w="5662" w:type="dxa"/>
            <w:vAlign w:val="top"/>
            <w:textDirection w:val="lrTb"/>
            <w:noWrap w:val="false"/>
          </w:tcPr>
          <w:p>
            <w:pPr>
              <w:numPr>
                <w:ilvl w:val="-1"/>
                <w:numId w:val="0"/>
              </w:numPr>
              <w:jc w:val="left"/>
              <w:rPr>
                <w:rFonts w:hint="default"/>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管理所有学生端设备，实时监察设备各项信息。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1.支持设备一键关机、重启等功能。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2.可设置学生端设备为自由或管控模式。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3.可进行课程资源相关管理、一键投屏管理、学生端设备统计和分析。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★4.教师端支持查看学生端可视化数据统计，包含以下但不仅限于下述功能：</w:t>
            </w:r>
            <w:r>
              <w:rPr>
                <w:rFonts w:hint="eastAsia"/>
                <w:highlight w:val="none"/>
                <w:lang w:val="en-US" w:eastAsia="zh-CN"/>
              </w:rPr>
              <w:t xml:space="preserve">1</w:t>
            </w:r>
            <w:r>
              <w:rPr>
                <w:rFonts w:hint="eastAsia" w:ascii="宋体" w:hAnsi="宋体" w:eastAsia="宋体" w:cs="宋体"/>
                <w:i w:val="0"/>
                <w:iCs w:val="0"/>
                <w:color w:val="auto"/>
                <w:sz w:val="21"/>
                <w:szCs w:val="21"/>
                <w:highlight w:val="none"/>
                <w:u w:val="none"/>
                <w:lang w:val="en-US" w:eastAsia="zh-CN" w:bidi="ar"/>
              </w:rPr>
              <w:t xml:space="preserve">）</w:t>
            </w:r>
            <w:r>
              <w:rPr>
                <w:rFonts w:hint="eastAsia"/>
                <w:highlight w:val="none"/>
                <w:lang w:val="en-US" w:eastAsia="zh-CN"/>
              </w:rPr>
              <w:t xml:space="preserve">学习资源管理</w:t>
            </w:r>
            <w:r/>
          </w:p>
          <w:p>
            <w:pPr>
              <w:rPr>
                <w:rFonts w:hint="eastAsia"/>
                <w:highlight w:val="none"/>
                <w:lang w:val="en-US" w:eastAsia="zh-CN"/>
              </w:rPr>
            </w:pPr>
            <w:r>
              <w:rPr>
                <w:rFonts w:hint="eastAsia"/>
                <w:highlight w:val="none"/>
                <w:lang w:val="en-US" w:eastAsia="zh-CN"/>
              </w:rPr>
              <w:t xml:space="preserve">教师可通过系统检索并查看所有已分发给学生端的课程资源记录，方便教师回溯或二次调用教学材料。</w:t>
            </w:r>
            <w:r/>
          </w:p>
          <w:p>
            <w:pPr>
              <w:rPr>
                <w:rFonts w:hint="eastAsia"/>
                <w:highlight w:val="none"/>
                <w:lang w:val="en-US" w:eastAsia="zh-CN"/>
              </w:rPr>
            </w:pPr>
            <w:r>
              <w:rPr>
                <w:rFonts w:hint="eastAsia"/>
                <w:highlight w:val="none"/>
                <w:lang w:val="en-US" w:eastAsia="zh-CN"/>
              </w:rPr>
              <w:t xml:space="preserve">2</w:t>
            </w:r>
            <w:r>
              <w:rPr>
                <w:rFonts w:hint="eastAsia" w:ascii="宋体" w:hAnsi="宋体" w:eastAsia="宋体" w:cs="宋体"/>
                <w:i w:val="0"/>
                <w:iCs w:val="0"/>
                <w:color w:val="auto"/>
                <w:sz w:val="21"/>
                <w:szCs w:val="21"/>
                <w:highlight w:val="none"/>
                <w:u w:val="none"/>
                <w:lang w:val="en-US" w:eastAsia="zh-CN" w:bidi="ar"/>
              </w:rPr>
              <w:t xml:space="preserve">）</w:t>
            </w:r>
            <w:r>
              <w:rPr>
                <w:rFonts w:hint="eastAsia"/>
                <w:highlight w:val="none"/>
                <w:lang w:val="en-US" w:eastAsia="zh-CN"/>
              </w:rPr>
              <w:t xml:space="preserve">学习效果分析</w:t>
            </w:r>
            <w:r/>
          </w:p>
          <w:p>
            <w:pPr>
              <w:rPr>
                <w:rFonts w:hint="eastAsia"/>
                <w:highlight w:val="none"/>
                <w:lang w:val="en-US" w:eastAsia="zh-CN"/>
              </w:rPr>
            </w:pPr>
            <w:r>
              <w:rPr>
                <w:rFonts w:hint="eastAsia"/>
                <w:highlight w:val="none"/>
                <w:lang w:val="en-US" w:eastAsia="zh-CN"/>
              </w:rPr>
              <w:t xml:space="preserve">系统提供全班视角的学生实验成绩总览，对所有提交实验的学生进行自动成绩排名并集中展示。</w:t>
            </w:r>
            <w:r/>
          </w:p>
          <w:p>
            <w:pPr>
              <w:rPr>
                <w:rFonts w:hint="eastAsia"/>
                <w:highlight w:val="none"/>
                <w:lang w:val="en-US" w:eastAsia="zh-CN"/>
              </w:rPr>
            </w:pPr>
            <w:r>
              <w:rPr>
                <w:rFonts w:hint="eastAsia"/>
                <w:highlight w:val="none"/>
                <w:lang w:val="en-US" w:eastAsia="zh-CN"/>
              </w:rPr>
              <w:t xml:space="preserve">3</w:t>
            </w:r>
            <w:r>
              <w:rPr>
                <w:rFonts w:hint="eastAsia" w:ascii="宋体" w:hAnsi="宋体" w:eastAsia="宋体" w:cs="宋体"/>
                <w:i w:val="0"/>
                <w:iCs w:val="0"/>
                <w:color w:val="auto"/>
                <w:sz w:val="21"/>
                <w:szCs w:val="21"/>
                <w:highlight w:val="none"/>
                <w:u w:val="none"/>
                <w:lang w:val="en-US" w:eastAsia="zh-CN" w:bidi="ar"/>
              </w:rPr>
              <w:t xml:space="preserve">）</w:t>
            </w:r>
            <w:r>
              <w:rPr>
                <w:rFonts w:hint="eastAsia"/>
                <w:highlight w:val="none"/>
                <w:lang w:val="en-US" w:eastAsia="zh-CN"/>
              </w:rPr>
              <w:t xml:space="preserve">实验过程全景记录</w:t>
            </w:r>
            <w:r/>
          </w:p>
          <w:p>
            <w:pPr>
              <w:rPr>
                <w:rFonts w:hint="eastAsia"/>
                <w:highlight w:val="none"/>
                <w:lang w:val="en-US" w:eastAsia="zh-CN"/>
              </w:rPr>
            </w:pPr>
            <w:r>
              <w:rPr>
                <w:rFonts w:hint="eastAsia"/>
                <w:highlight w:val="none"/>
                <w:lang w:val="en-US" w:eastAsia="zh-CN"/>
              </w:rPr>
              <w:t xml:space="preserve">系统具备自动录制并存储学生完成实验全过程视频，确保操作过程的可回放与可复盘。</w:t>
            </w:r>
            <w:r/>
          </w:p>
          <w:p>
            <w:pPr>
              <w:rPr>
                <w:rFonts w:hint="eastAsia"/>
                <w:highlight w:val="none"/>
                <w:lang w:val="en-US" w:eastAsia="zh-CN"/>
              </w:rPr>
            </w:pPr>
            <w:r>
              <w:rPr>
                <w:rFonts w:hint="eastAsia"/>
                <w:highlight w:val="none"/>
                <w:lang w:val="en-US" w:eastAsia="zh-CN"/>
              </w:rPr>
              <w:t xml:space="preserve">4</w:t>
            </w:r>
            <w:r>
              <w:rPr>
                <w:rFonts w:hint="eastAsia" w:ascii="宋体" w:hAnsi="宋体" w:eastAsia="宋体" w:cs="宋体"/>
                <w:i w:val="0"/>
                <w:iCs w:val="0"/>
                <w:color w:val="auto"/>
                <w:sz w:val="21"/>
                <w:szCs w:val="21"/>
                <w:highlight w:val="none"/>
                <w:u w:val="none"/>
                <w:lang w:val="en-US" w:eastAsia="zh-CN" w:bidi="ar"/>
              </w:rPr>
              <w:t xml:space="preserve">）</w:t>
            </w:r>
            <w:r>
              <w:rPr>
                <w:rFonts w:hint="eastAsia"/>
                <w:highlight w:val="none"/>
                <w:lang w:val="en-US" w:eastAsia="zh-CN"/>
              </w:rPr>
              <w:t xml:space="preserve">实验过程追溯</w:t>
            </w:r>
            <w:r/>
          </w:p>
          <w:p>
            <w:pPr>
              <w:rPr>
                <w:rFonts w:hint="eastAsia"/>
                <w:highlight w:val="none"/>
                <w:lang w:val="en-US" w:eastAsia="zh-CN"/>
              </w:rPr>
            </w:pPr>
            <w:r>
              <w:rPr>
                <w:rFonts w:hint="eastAsia"/>
                <w:highlight w:val="none"/>
                <w:lang w:val="en-US" w:eastAsia="zh-CN"/>
              </w:rPr>
              <w:t xml:space="preserve">统计学生在实验过程中实验步骤的进展情况、操作的正误情况，帮助教师评估学生对知识的掌握程度。</w:t>
            </w:r>
            <w:r/>
          </w:p>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（提供上述功能的证明材料包括但不限于软件功能性截图、产品说明书或官网截图等）</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3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融合学科VR教学资源</w:t>
            </w:r>
            <w:r/>
          </w:p>
        </w:tc>
        <w:tc>
          <w:tcPr>
            <w:shd w:val="clear" w:color="auto" w:fill="auto"/>
            <w:tcBorders>
              <w:top w:val="single" w:color="000000" w:sz="4" w:space="0"/>
              <w:left w:val="single" w:color="000000" w:sz="4" w:space="0"/>
              <w:bottom w:val="single" w:color="000000" w:sz="4" w:space="0"/>
              <w:right w:val="single" w:color="000000" w:sz="4" w:space="0"/>
            </w:tcBorders>
            <w:tcW w:w="5662" w:type="dxa"/>
            <w:vAlign w:val="top"/>
            <w:textDirection w:val="lrTb"/>
            <w:noWrap w:val="false"/>
          </w:tcPr>
          <w:p>
            <w:pPr>
              <w:numPr>
                <w:ilvl w:val="-1"/>
                <w:numId w:val="0"/>
              </w:numPr>
              <w:ind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1.教学资源所有模型均为经过烘焙的三维仿真模型，系统分辨率不低于1920*1200。</w:t>
            </w:r>
            <w:r/>
          </w:p>
          <w:p>
            <w:pPr>
              <w:numPr>
                <w:ilvl w:val="-1"/>
                <w:numId w:val="0"/>
              </w:numPr>
              <w:ind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2.教学资源支持6DoF体验。 </w:t>
            </w:r>
            <w:r/>
          </w:p>
          <w:p>
            <w:pPr>
              <w:numPr>
                <w:ilvl w:val="-1"/>
                <w:numId w:val="0"/>
              </w:numPr>
              <w:ind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3.所有资源均支持在无互联网环境下正常操作使用。</w:t>
            </w:r>
            <w:r/>
          </w:p>
          <w:p>
            <w:pPr>
              <w:numPr>
                <w:ilvl w:val="-1"/>
                <w:numId w:val="0"/>
              </w:numPr>
              <w:ind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◆4.本VR教学资源需适配安装到本项目所有穿</w:t>
            </w:r>
            <w:r>
              <w:rPr>
                <w:rFonts w:hint="eastAsia" w:ascii="宋体" w:hAnsi="宋体" w:eastAsia="宋体" w:cs="宋体"/>
                <w:i w:val="0"/>
                <w:iCs w:val="0"/>
                <w:color w:val="auto"/>
                <w:sz w:val="21"/>
                <w:szCs w:val="21"/>
                <w:highlight w:val="none"/>
                <w:u w:val="none"/>
                <w:lang w:val="en-US" w:eastAsia="zh-CN" w:bidi="ar"/>
              </w:rPr>
              <w:t xml:space="preserve">戴式学生VR终端、裸眼XR便携终端和所有偏振式3DVR便携式终端三款设备中；每款设备均需提供以下主题板块资源，不少于80节，其中每个主题下设目录至少展示4个资源：安全教育主题（下设目录包含但不限于消防安全、地震避险、交通安全）、心理健康教育主题（下设目录包含但不限于情绪管理、自我认知、人际交往）、爱国主义及国防教育主题（下设目录包含但不限于红色故事、国防安全知识、历史事件场景）、科普教育主题（下设目录包含但不限于生命科学、星空探秘、航空科技）。各潜在供应商自行设计资源表格，表头至少包含序号、资源名称等内容。</w:t>
            </w:r>
            <w:r/>
          </w:p>
          <w:p>
            <w:pPr>
              <w:numPr>
                <w:ilvl w:val="-1"/>
                <w:numId w:val="0"/>
              </w:num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（针对以上需求投标单位提供承诺函）</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32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小学科学VR教学系8统</w:t>
            </w:r>
            <w:r/>
          </w:p>
        </w:tc>
        <w:tc>
          <w:tcPr>
            <w:shd w:val="clear" w:color="auto" w:fill="auto"/>
            <w:tcBorders>
              <w:top w:val="single" w:color="000000" w:sz="4" w:space="0"/>
              <w:left w:val="single" w:color="000000" w:sz="4" w:space="0"/>
              <w:bottom w:val="single" w:color="000000" w:sz="4" w:space="0"/>
              <w:right w:val="single" w:color="000000" w:sz="4" w:space="0"/>
            </w:tcBorders>
            <w:tcW w:w="5662" w:type="dxa"/>
            <w:vAlign w:val="top"/>
            <w:textDirection w:val="lrTb"/>
            <w:noWrap w:val="false"/>
          </w:tcPr>
          <w:p>
            <w:pPr>
              <w:numPr>
                <w:ilvl w:val="0"/>
                <w:numId w:val="8"/>
              </w:numPr>
              <w:jc w:val="left"/>
              <w:keepLines w:val="0"/>
              <w:keepNext w:val="0"/>
              <w:pageBreakBefore w:val="0"/>
              <w:spacing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所有模型均为经过烘焙的三维仿真模型，系统分辨率不低于1920*1200。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2.支持6DoF体验。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3.具有交互性，非简单视频类课件。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4.所有资源均支持在无互联网环境下正常操作使用。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5.VR资源中有实验原理、实验器材、实验目的、实验步骤、实验结论等信息内容提示。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6.本项目所有穿戴式学生VR终端、裸眼XR便携终端和所有偏振式3DVR便携式终端三款设备需适配安装VR教学资源。</w:t>
            </w:r>
            <w:r/>
          </w:p>
          <w:p>
            <w:pPr>
              <w:numPr>
                <w:ilvl w:val="0"/>
                <w:numId w:val="0"/>
              </w:numPr>
              <w:jc w:val="left"/>
              <w:keepLines w:val="0"/>
              <w:keepNext w:val="0"/>
              <w:pageBreakBefore w:val="0"/>
              <w:spacing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提供小学科学实验教学软件不少于100节独立的VR课件，涵盖1-6年级的教材，与本校使用的江苏省凤凰教育出版社出版的小学科学教材同步，需要本地化部署；所有课件满足授课需求，可以自主拆分、自由搭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8.各潜在供应商自行设计资源表格，表头至少包含序号、资源名称、课本册数、章节、对应教材知识点等内容。</w:t>
            </w:r>
            <w:r/>
          </w:p>
          <w:p>
            <w:pPr>
              <w:numPr>
                <w:ilvl w:val="-1"/>
                <w:numId w:val="0"/>
              </w:numPr>
              <w:ind w:left="0" w:firstLine="0"/>
              <w:jc w:val="left"/>
              <w:keepLines w:val="0"/>
              <w:keepNext w:val="0"/>
              <w:pageBreakBefore w:val="0"/>
              <w:spacing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（针对以上需求投标单位提供承诺函）</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391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设备充电消毒一体柜</w:t>
            </w:r>
            <w:r/>
          </w:p>
        </w:tc>
        <w:tc>
          <w:tcPr>
            <w:shd w:val="clear" w:color="auto" w:fill="auto"/>
            <w:tcBorders>
              <w:top w:val="single" w:color="000000" w:sz="4" w:space="0"/>
              <w:left w:val="single" w:color="000000" w:sz="4" w:space="0"/>
              <w:bottom w:val="single" w:color="000000" w:sz="4" w:space="0"/>
              <w:right w:val="single" w:color="000000" w:sz="4" w:space="0"/>
            </w:tcBorders>
            <w:tcW w:w="5662" w:type="dxa"/>
            <w:vAlign w:val="top"/>
            <w:textDirection w:val="lrTb"/>
            <w:noWrap w:val="false"/>
          </w:tcPr>
          <w:p>
            <w:pPr>
              <w:jc w:val="left"/>
              <w:keepLines w:val="0"/>
              <w:keepNext w:val="0"/>
              <w:pageBreakBefore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功能参数：</w:t>
            </w:r>
            <w:r/>
          </w:p>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1、内置USB 5V 2.4A直流充电口（智能识别VR终端设备所需要的电流）；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2、每口独立充电并具备智能指示灯，有对应的数字序号；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3、搭配智能温控系统；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4、主动式节能开关电源，内置安全保护：雷击保护、浪涌保护、过载保护、漏电保护、过充保护；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5、自动消毒功能，消毒后自动关闭；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1、外形尺寸≤950*800*1150mm(含脚轮、防撞角)，工位容积约为205*368*150mm ，顶边圆弧设计；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2、两侧设有ABS工程提手，柜体四个底角加装软塑防撞角，配装4个3寸带刹车天然橡胶静音脚轮；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3、多层工位设计，配装ABS绿色隔断；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4、独立的电源管控封闭区；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5、前后门带锁，前后门板与侧板设有对流孔，通风散热。</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19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无线AP</w:t>
            </w:r>
            <w:r/>
          </w:p>
        </w:tc>
        <w:tc>
          <w:tcPr>
            <w:shd w:val="clear" w:color="auto" w:fill="auto"/>
            <w:tcBorders>
              <w:top w:val="single" w:color="000000" w:sz="4" w:space="0"/>
              <w:left w:val="single" w:color="000000" w:sz="4" w:space="0"/>
              <w:bottom w:val="single" w:color="000000" w:sz="4" w:space="0"/>
              <w:right w:val="single" w:color="000000" w:sz="4" w:space="0"/>
            </w:tcBorders>
            <w:tcW w:w="5662" w:type="dxa"/>
            <w:vAlign w:val="top"/>
            <w:textDirection w:val="lrTb"/>
            <w:noWrap w:val="false"/>
          </w:tcPr>
          <w:p>
            <w:pPr>
              <w:numPr>
                <w:ilvl w:val="0"/>
                <w:numId w:val="9"/>
              </w:num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双频增强级无线接入点；整机支持12条空间流；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2、接口：≥1个10G/PoE IN；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3、整机接入速率≥12Gbps；</w:t>
            </w:r>
            <w:r/>
          </w:p>
          <w:p>
            <w:pPr>
              <w:numPr>
                <w:ilvl w:val="-1"/>
                <w:numId w:val="0"/>
              </w:num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4、含管理主机。</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15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裸眼XR便携终端</w:t>
            </w:r>
            <w:r/>
          </w:p>
        </w:tc>
        <w:tc>
          <w:tcPr>
            <w:shd w:val="clear" w:color="auto" w:fill="ffffff"/>
            <w:tcBorders>
              <w:top w:val="single" w:color="000000" w:sz="4" w:space="0"/>
              <w:left w:val="single" w:color="000000" w:sz="4" w:space="0"/>
              <w:bottom w:val="single" w:color="000000" w:sz="4" w:space="0"/>
              <w:right w:val="single" w:color="000000" w:sz="4" w:space="0"/>
            </w:tcBorders>
            <w:tcW w:w="5662" w:type="dxa"/>
            <w:vAlign w:val="center"/>
            <w:textDirection w:val="lrTb"/>
            <w:noWrap w:val="false"/>
          </w:tcPr>
          <w:p>
            <w:pPr>
              <w:jc w:val="left"/>
              <w:rPr>
                <w:rFonts w:hint="eastAsia"/>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裸眼XR便携终端采用便携化设计，支持无外部供电的移动使用。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1.技术要求：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1）3D显示：支持3D显示和2D显示自动切换，显示面积≥15英寸，显示分辨率≥3840*2160；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2）性能要求：</w:t>
            </w:r>
            <w:r>
              <w:rPr>
                <w:rFonts w:hint="eastAsia"/>
                <w:highlight w:val="none"/>
                <w:lang w:val="en-US" w:eastAsia="zh-CN"/>
              </w:rPr>
              <w:t xml:space="preserve">≥8核16线程</w:t>
            </w:r>
            <w:r/>
          </w:p>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；硬盘≥512G NVMe SSD；内存≥16G DDR5；显卡显存容量≥6GB；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3）裸眼3D显示：无需佩戴3D眼镜，仅通过裸眼方式即可观看到3D/VR的景深效果； </w:t>
            </w:r>
            <w:r/>
          </w:p>
          <w:p>
            <w:pPr>
              <w:numPr>
                <w:ilvl w:val="0"/>
                <w:numId w:val="10"/>
              </w:num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接口：≥1个Type-C接口，≥2个USB接口，≥1个RJ45网络接口，≥1个HDMI输出接口；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5）支持视频输出；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2.功能要求：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眼球跟踪：可追踪眼球的多目摄像头，通过摄像头系统能准确判断人眼所在位置，从而根据眼球追踪视角的不同来转换不同视角下的显示内容，达到逼真的XR效果（提供上述功能的证明材料包括但不限于软件功能性截图、产品说明书或官网截图等）；</w:t>
            </w:r>
            <w:r/>
          </w:p>
          <w:p>
            <w:pPr>
              <w:numPr>
                <w:ilvl w:val="-1"/>
                <w:numId w:val="0"/>
              </w:num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2）支持键鼠、光学追踪操控笔两种交互方式。操控笔交互方式能够对VR对象进行3个自由度坐标轴移动及3个自由度坐标轴的转动；可实现对象选择、旋转、缩放等操作。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3）搭载AR软件可实现外接AR摄像头和大屏，实现扩展显示；也可搭配带3D显示功能的大屏做扩屏模式显示，实现立体3D的VR投屏功能。</w:t>
            </w:r>
            <w:r/>
          </w:p>
        </w:tc>
        <w:tc>
          <w:tcPr>
            <w:shd w:val="clear" w:color="auto" w:fill="ffffff"/>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413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裸眼XR便携终端配件包</w:t>
            </w:r>
            <w:r/>
          </w:p>
        </w:tc>
        <w:tc>
          <w:tcPr>
            <w:shd w:val="clear" w:color="auto" w:fill="ffffff"/>
            <w:tcBorders>
              <w:top w:val="single" w:color="000000" w:sz="4" w:space="0"/>
              <w:left w:val="single" w:color="000000" w:sz="4" w:space="0"/>
              <w:bottom w:val="single" w:color="000000" w:sz="4" w:space="0"/>
              <w:right w:val="single" w:color="000000" w:sz="4" w:space="0"/>
            </w:tcBorders>
            <w:tcW w:w="5662"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配件包应提供满足裸眼XR便携终端视频信号中转用途的专用设备与辅助设备，应支持将裸眼XR便携终端设备显示画面扩展至小组屏；应支持AR（增强现实）展示功能，将虚拟内容与现实拍摄场景叠加融合显示。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1.配件数量及要求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1）AR增强现实视频摄像头1个；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2）摄像头专用支架1个：支持360°旋转，脚架高度可调节；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3）USB扩展坞：支持USB3.0接口≥4个，支持Type-C单独供电；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4）无线鼠标：支持2.4GHz无线和蓝牙双模；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5）散热支架1个：满足裸眼XR便携终端设备散热需求；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6）HDMI连接线1根：能够实现裸眼XR便携终端视频传输，线材长度不小于5m；</w:t>
            </w:r>
            <w:r/>
          </w:p>
        </w:tc>
        <w:tc>
          <w:tcPr>
            <w:shd w:val="clear" w:color="auto" w:fill="ffffff"/>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r>
      <w:tr>
        <w:trPr>
          <w:trHeight w:val="11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偏振式3DVR便携式终端</w:t>
            </w:r>
            <w:r/>
          </w:p>
        </w:tc>
        <w:tc>
          <w:tcPr>
            <w:shd w:val="clear" w:color="auto" w:fill="ffffff"/>
            <w:tcBorders>
              <w:top w:val="single" w:color="000000" w:sz="4" w:space="0"/>
              <w:left w:val="single" w:color="000000" w:sz="4" w:space="0"/>
              <w:bottom w:val="single" w:color="000000" w:sz="4" w:space="0"/>
              <w:right w:val="single" w:color="000000" w:sz="4" w:space="0"/>
            </w:tcBorders>
            <w:tcW w:w="5662"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一、整体设计要求：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1.3D显示单元、光学追踪定位单元、电脑单元采用一体式设计，显示尺寸≥15英寸；全高清偏光式3D显示技术，3D显示物理分辨率:≥1920*1080；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2.可实现AR/VR交互操作；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3.支持播放上下、左右、帧顺序格式的3D视频资源；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4.支持键鼠、触摸、光学追踪空间交互笔等交互方式；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5.支持3D虚拟现实显示方式与2D普通显示方式自动切换功能；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6.支持将虚拟现实交互场景立体展示至其它显示设备；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7.设备内置扬声器；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二、教学系统参数：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1.存储：≥256GB ；内存：≥8GB；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2.3D显示跟踪系统：≥2组红外传感器，每组红外传感器都包含1个相机和1颗红外LED灯；红外传感器间需协同工作；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3.设备具备头部3D眼镜位置追踪功能；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4.系统配备空间交互笔:支持6自由度坐标轴和空中姿态转动。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5.终端系统：可按照学段、学科等分类筛选并预览资源；可在离线或自由模式下打开设备内的资源。</w:t>
            </w:r>
            <w:r/>
          </w:p>
        </w:tc>
        <w:tc>
          <w:tcPr>
            <w:shd w:val="clear" w:color="auto" w:fill="ffffff"/>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观察眼镜</w:t>
            </w:r>
            <w:r/>
          </w:p>
        </w:tc>
        <w:tc>
          <w:tcPr>
            <w:shd w:val="clear" w:color="auto" w:fill="ffffff"/>
            <w:tcBorders>
              <w:top w:val="single" w:color="000000" w:sz="4" w:space="0"/>
              <w:left w:val="single" w:color="000000" w:sz="4" w:space="0"/>
              <w:bottom w:val="single" w:color="000000" w:sz="4" w:space="0"/>
              <w:right w:val="single" w:color="000000" w:sz="4" w:space="0"/>
            </w:tcBorders>
            <w:tcW w:w="5662"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采用轻便的偏光式3D眼镜，无需电池及开关，即戴即用，免开关、免维护；</w:t>
            </w:r>
            <w:r/>
          </w:p>
        </w:tc>
        <w:tc>
          <w:tcPr>
            <w:shd w:val="clear" w:color="auto" w:fill="ffffff"/>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r>
      <w:tr>
        <w:trPr>
          <w:trHeight w:val="20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VR资源制作软件</w:t>
            </w:r>
            <w:r/>
          </w:p>
        </w:tc>
        <w:tc>
          <w:tcPr>
            <w:shd w:val="clear" w:color="auto" w:fill="auto"/>
            <w:tcBorders>
              <w:top w:val="single" w:color="000000" w:sz="4" w:space="0"/>
              <w:left w:val="single" w:color="000000" w:sz="4" w:space="0"/>
              <w:bottom w:val="single" w:color="000000" w:sz="4" w:space="0"/>
              <w:right w:val="single" w:color="000000" w:sz="4" w:space="0"/>
            </w:tcBorders>
            <w:tcW w:w="5662" w:type="dxa"/>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1.图形化创作工具软件，支持VR课件的设计制作,涵盖多学科模型库,不少于2000个模型，且可进行分类筛选。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2.支持对三维模型的浏览、拆分、标注、剖面切割、标记等功能。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3.需部署到所有偏振式3DVR便携式终端中。</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6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3D 智慧黑板</w:t>
            </w:r>
            <w:r/>
          </w:p>
        </w:tc>
        <w:tc>
          <w:tcPr>
            <w:shd w:val="clear" w:color="auto" w:fill="auto"/>
            <w:tcBorders>
              <w:top w:val="single" w:color="000000" w:sz="4" w:space="0"/>
              <w:left w:val="single" w:color="000000" w:sz="4" w:space="0"/>
              <w:bottom w:val="single" w:color="000000" w:sz="4" w:space="0"/>
              <w:right w:val="single" w:color="000000" w:sz="4" w:space="0"/>
            </w:tcBorders>
            <w:tcW w:w="5662" w:type="dxa"/>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1、整机三拼接平面一体化设计；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2、显示区域尺寸≥ 86英寸，偏光式3D液晶显示技术，物理分辨率≥3840*2160，整机可视角度≥100°，HDMI2.0接口；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3、配置OPS电脑，实现双系统运行，性能和存储容量满足VR资源的存储与运行。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3、每台配50副偏光式3D眼镜，无需电池，即戴即用，便携轻巧，免维护；支持左右格式、上下格式的3D内容；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4、具备智能控制2D/3D显示模式，可实现教师机对本机的2D与3D工作状态进行无线智能化控制；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5、本产品与AI裸眼XR便携式终端连接，学生可以通过偏振式3D观察眼镜看到VR立体效果。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246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八边形操作台</w:t>
            </w:r>
            <w:r/>
          </w:p>
        </w:tc>
        <w:tc>
          <w:tcPr>
            <w:shd w:val="clear" w:color="auto" w:fill="auto"/>
            <w:tcBorders>
              <w:top w:val="single" w:color="000000" w:sz="4" w:space="0"/>
              <w:left w:val="single" w:color="000000" w:sz="4" w:space="0"/>
              <w:bottom w:val="single" w:color="000000" w:sz="4" w:space="0"/>
              <w:right w:val="single" w:color="000000" w:sz="4" w:space="0"/>
            </w:tcBorders>
            <w:tcW w:w="5662" w:type="dxa"/>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1.边长600mm，直径1560mm，高度750mm（±10mm）；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2.台面采用≥12.5mm优质实芯理化板，具有抗老化、耐酸碱、防火、耐磨、无毒功能及易清洁、使用寿命长、外表美观等特点；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3.台身结构：铝合金框架结构,框架采用国标Ф50 mm±1.2mm 圆管为立腿，横管为30×30±1.2mm方管，铝合金型材的壁厚不小于1.4mm（±0.2 mm）。铝合金表面静电喷塑，连接件为ABS工程塑料连接件。铝合金型材应带凹槽，凹槽的宽度、深度应与所采用的柜体板材相匹配，接缝严密，无晃动现象。桌架整体耐腐蚀、防火、防潮、稳固耐用；台身侧板、背板及吊板采用≥12.7mm厚高密度PE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4.所有板材外露端面采用高质量ABS封边条，利用机械封边机配以热溶胶高温封边，高密封性不吸水、不膨胀，外型美观、经久耐用。实验桌整体设计科学合理且美观。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5.脚垫：采用特制模具ABS注塑脚垫，高度可调，可有效防止台身受潮，延长设备 的使用寿命。</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全钢讲台</w:t>
            </w:r>
            <w:r/>
          </w:p>
        </w:tc>
        <w:tc>
          <w:tcPr>
            <w:shd w:val="clear" w:color="auto" w:fill="auto"/>
            <w:tcBorders>
              <w:top w:val="single" w:color="000000" w:sz="4" w:space="0"/>
              <w:left w:val="single" w:color="000000" w:sz="4" w:space="0"/>
              <w:bottom w:val="single" w:color="000000" w:sz="4" w:space="0"/>
              <w:right w:val="single" w:color="000000" w:sz="4" w:space="0"/>
            </w:tcBorders>
            <w:tcW w:w="5662"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1.规格：2000*700*800㎜ （±50mm）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2.台面采用理化板。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3.整体采用0.8mm厚优质冷轧钢板，全部钢制件防锈处理。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4.演示台设有储物柜，中间为演示台,设置电源主控系统、多媒体设备（主机、显示器、中控、功放、交换机）的预留位置。</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72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5662" w:type="dxa"/>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325（径）*420（高)mm， 凳面PP工程塑料注塑成型；支撑柱采用直径50mm圆钢管，顶端为165*165*1.5mm钢板，采用全周满焊焊接，用四颗直径8mm的自锁螺帽连接凳面，结构牢固，长期使用也不会出现摇晃松散现象；下端五星脚采用一次性铝压铸加工，表面经过防腐氧化处理和纯环氧树脂塑粉高温固化处理，具有较强的耐蚀性及承重性。</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r>
      <w:tr>
        <w:trPr>
          <w:trHeight w:val="123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5662" w:type="dxa"/>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8000（长度）*400mm(宽度）*1200mm（高度）。基材为18mm厚实木多层板（静曲强度≥15MPa)，表面覆三聚氰胺浸渍纸(耐磨转数≥1000转)，板材边缘采用同色ABS封边条(封边厚≥1mm)，背板为＞5 mm多层板，辅材包含304不锈钢五金件(铰链承重≥50kg，开合寿命≥10万次)、柜体采用三合一连接结构，门板与柜体间隙≤3mm，铰链安装后垂直度误差≤1.5mm。</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23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教室文化环境布置</w:t>
            </w:r>
            <w:r/>
          </w:p>
        </w:tc>
        <w:tc>
          <w:tcPr>
            <w:shd w:val="clear" w:color="auto" w:fill="auto"/>
            <w:tcBorders>
              <w:top w:val="single" w:color="000000" w:sz="4" w:space="0"/>
              <w:left w:val="single" w:color="000000" w:sz="4" w:space="0"/>
              <w:bottom w:val="single" w:color="000000" w:sz="4" w:space="0"/>
              <w:right w:val="single" w:color="000000" w:sz="4" w:space="0"/>
            </w:tcBorders>
            <w:tcW w:w="5662"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1.针对未来实验室文化环境、氛围营造的特点，对2间教室室内前后及两侧墙壁（除去窗户、智慧黑板位置）进行整体布置，其中一间长宽高约为10.6*6.9*3.5m，另一间长宽高约为13.6*6.6*3.45；所用材质为异形pvc UV，厚度≥1cm,亚克力背喷，厚度≥2mm。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2.提供平面效果图及安装说明。</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r>
      <w:tr>
        <w:trPr>
          <w:trHeight w:val="81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jc w:val="center"/>
              <w:keepLines w:val="0"/>
              <w:keepNext w:val="0"/>
              <w:pageBreakBefore w:val="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铝方通造型</w:t>
            </w:r>
            <w:r/>
          </w:p>
        </w:tc>
        <w:tc>
          <w:tcPr>
            <w:shd w:val="clear" w:color="auto" w:fill="auto"/>
            <w:tcBorders>
              <w:top w:val="single" w:color="000000" w:sz="4" w:space="0"/>
              <w:left w:val="single" w:color="000000" w:sz="4" w:space="0"/>
              <w:bottom w:val="single" w:color="000000" w:sz="4" w:space="0"/>
              <w:right w:val="single" w:color="000000" w:sz="4" w:space="0"/>
            </w:tcBorders>
            <w:tcW w:w="5662" w:type="dxa"/>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室内顶面铝方通造型，外观质量板材边部应切齐，无毛刺，裂边，板材不允许有开焊等。外观应整洁，图案清晰，色泽基本一致，无明显擦伤和毛刺，装饰面不得有明显压痕、印痕和凹凸等痕迹，目视无明显色差。不得有漏涂、波纹，鼓泡或穿透涂层的损伤。膜厚：平均膜厚 23umm，最小局部膜厚 22um，光泽度范围:38.6-39.7平均值 39.1。附着力0级，漆膜硬度&gt;2H，耐冲击性&gt;4N·m，耐油性检测结果无变化。</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平米</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170</w:t>
            </w:r>
            <w:r/>
          </w:p>
        </w:tc>
      </w:tr>
      <w:tr>
        <w:trPr>
          <w:trHeight w:val="29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jc w:val="center"/>
              <w:keepLines w:val="0"/>
              <w:keepNext w:val="0"/>
              <w:pageBreakBefore w:val="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室内地板</w:t>
            </w:r>
            <w:r/>
          </w:p>
        </w:tc>
        <w:tc>
          <w:tcPr>
            <w:shd w:val="clear" w:color="auto" w:fill="auto"/>
            <w:tcBorders>
              <w:top w:val="single" w:color="000000" w:sz="4" w:space="0"/>
              <w:left w:val="single" w:color="000000" w:sz="4" w:space="0"/>
              <w:bottom w:val="single" w:color="000000" w:sz="4" w:space="0"/>
              <w:right w:val="single" w:color="000000" w:sz="4" w:space="0"/>
            </w:tcBorders>
            <w:tcW w:w="5662"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高密度纤维板与高分子材料复合结构地板，板材厚度不低于1cm，E0级别，耐磨等级为家用I级 6000转，含铺装及同材质成品踢脚线等辅材。</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平米</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170</w:t>
            </w:r>
            <w:r/>
          </w:p>
        </w:tc>
      </w:tr>
    </w:tbl>
    <w:p>
      <w:pPr>
        <w:ind w:left="420"/>
        <w:spacing w:line="46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lang w:val="en-US" w:eastAsia="zh-CN"/>
        </w:rPr>
        <w:t xml:space="preserve">三</w:t>
      </w:r>
      <w:r>
        <w:rPr>
          <w:rFonts w:hint="eastAsia" w:asciiTheme="minorEastAsia" w:hAnsiTheme="minorEastAsia" w:eastAsiaTheme="minorEastAsia" w:cstheme="minorEastAsia"/>
          <w:b/>
          <w:bCs/>
          <w:color w:val="auto"/>
          <w:sz w:val="24"/>
          <w:szCs w:val="24"/>
          <w:highlight w:val="none"/>
        </w:rPr>
        <w:t xml:space="preserve">、其他要求：</w:t>
      </w:r>
      <w:r/>
    </w:p>
    <w:p>
      <w:pPr>
        <w:ind w:firstLine="480"/>
        <w:spacing w:line="46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1.所有招标要求条款投标供应商均必须如实反映响应或偏离情况，如投标单位虚假响应招标文件要求，则一切后果由投标供应商自行承担。招标单位保留追究法律责任的权利</w:t>
      </w:r>
      <w:r>
        <w:rPr>
          <w:rFonts w:hint="eastAsia" w:asciiTheme="minorEastAsia" w:hAnsiTheme="minorEastAsia" w:cstheme="minorEastAsia"/>
          <w:color w:val="auto"/>
          <w:sz w:val="24"/>
          <w:szCs w:val="24"/>
          <w:highlight w:val="none"/>
          <w:lang w:eastAsia="zh-CN"/>
        </w:rPr>
        <w:t xml:space="preserve">；</w:t>
      </w:r>
      <w:r/>
    </w:p>
    <w:p>
      <w:pPr>
        <w:ind w:firstLine="480"/>
        <w:spacing w:line="46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rPr>
        <w:t xml:space="preserve">标“★”</w:t>
      </w:r>
      <w:r>
        <w:rPr>
          <w:rFonts w:hint="eastAsia" w:asciiTheme="minorEastAsia" w:hAnsiTheme="minorEastAsia" w:eastAsiaTheme="minorEastAsia" w:cstheme="minorEastAsia"/>
          <w:color w:val="auto"/>
          <w:sz w:val="24"/>
          <w:szCs w:val="24"/>
          <w:highlight w:val="none"/>
        </w:rPr>
        <w:t xml:space="preserve">为重要技术参数，</w:t>
      </w:r>
      <w:r>
        <w:rPr>
          <w:rFonts w:hint="eastAsia" w:asciiTheme="minorEastAsia" w:hAnsiTheme="minorEastAsia" w:eastAsiaTheme="minorEastAsia" w:cstheme="minorEastAsia"/>
          <w:color w:val="auto"/>
          <w:sz w:val="24"/>
          <w:szCs w:val="24"/>
          <w:highlight w:val="none"/>
          <w:lang w:val="en-US" w:eastAsia="zh-CN"/>
        </w:rPr>
        <w:t xml:space="preserve">响应文件</w:t>
      </w:r>
      <w:r>
        <w:rPr>
          <w:rFonts w:hint="eastAsia" w:asciiTheme="minorEastAsia" w:hAnsiTheme="minorEastAsia" w:eastAsiaTheme="minorEastAsia" w:cstheme="minorEastAsia"/>
          <w:color w:val="auto"/>
          <w:sz w:val="24"/>
          <w:szCs w:val="24"/>
          <w:highlight w:val="none"/>
        </w:rPr>
        <w:t xml:space="preserve">须</w:t>
      </w:r>
      <w:r>
        <w:rPr>
          <w:rFonts w:hint="eastAsia" w:asciiTheme="minorEastAsia" w:hAnsiTheme="minorEastAsia" w:eastAsiaTheme="minorEastAsia" w:cstheme="minorEastAsia"/>
          <w:color w:val="auto"/>
          <w:sz w:val="24"/>
          <w:szCs w:val="24"/>
          <w:highlight w:val="none"/>
          <w:lang w:val="en-US" w:eastAsia="zh-CN"/>
        </w:rPr>
        <w:t xml:space="preserve">按照要求</w:t>
      </w:r>
      <w:r>
        <w:rPr>
          <w:rFonts w:hint="eastAsia" w:asciiTheme="minorEastAsia" w:hAnsiTheme="minorEastAsia" w:eastAsiaTheme="minorEastAsia" w:cstheme="minorEastAsia"/>
          <w:color w:val="auto"/>
          <w:sz w:val="24"/>
          <w:szCs w:val="24"/>
          <w:highlight w:val="none"/>
        </w:rPr>
        <w:t xml:space="preserve">提供相关有效佐证</w:t>
      </w:r>
      <w:r>
        <w:rPr>
          <w:rFonts w:hint="eastAsia" w:asciiTheme="minorEastAsia" w:hAnsiTheme="minorEastAsia" w:cstheme="minorEastAsia"/>
          <w:color w:val="auto"/>
          <w:sz w:val="24"/>
          <w:szCs w:val="24"/>
          <w:highlight w:val="none"/>
          <w:lang w:val="en-US" w:eastAsia="zh-CN"/>
        </w:rPr>
        <w:t xml:space="preserve">材料</w:t>
      </w:r>
      <w:r>
        <w:rPr>
          <w:rFonts w:hint="eastAsia" w:asciiTheme="minorEastAsia" w:hAnsiTheme="minorEastAsia" w:eastAsiaTheme="minorEastAsia" w:cstheme="minorEastAsia"/>
          <w:color w:val="auto"/>
          <w:sz w:val="24"/>
          <w:szCs w:val="24"/>
          <w:highlight w:val="none"/>
          <w:lang w:val="en-US" w:eastAsia="zh-CN"/>
        </w:rPr>
        <w:t xml:space="preserve">或提供具有国家权威检测机构出具的检测报告</w:t>
      </w:r>
      <w:r>
        <w:rPr>
          <w:rFonts w:hint="eastAsia" w:asciiTheme="minorEastAsia" w:hAnsiTheme="minorEastAsia" w:eastAsiaTheme="minorEastAsia" w:cstheme="minorEastAsia"/>
          <w:color w:val="auto"/>
          <w:sz w:val="24"/>
          <w:szCs w:val="24"/>
          <w:highlight w:val="none"/>
        </w:rPr>
        <w:t xml:space="preserve">，若有部分“</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”条款未响应或不满足，将根据评审要求影响其得分，但不作为无效投标条款</w:t>
      </w:r>
      <w:r>
        <w:rPr>
          <w:rFonts w:hint="eastAsia" w:asciiTheme="minorEastAsia" w:hAnsiTheme="minorEastAsia" w:cstheme="minorEastAsia"/>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投标人须在投标前自行踏勘现场，了解本项目的现场环境及现有平台接入的要求（投标人可联系招标人提前试接入），确保与现有视频图像信息应用等各类平台对接</w:t>
      </w:r>
      <w:r>
        <w:rPr>
          <w:rFonts w:hint="eastAsia" w:ascii="宋体" w:hAnsi="宋体" w:eastAsia="宋体" w:cs="宋体"/>
          <w:color w:val="auto"/>
          <w:sz w:val="24"/>
          <w:highlight w:val="none"/>
          <w:lang w:eastAsia="zh-CN"/>
        </w:rPr>
        <w:t xml:space="preserve">；</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、单价、报价及总价</w:t>
      </w:r>
      <w:r>
        <w:rPr>
          <w:rFonts w:hint="eastAsia" w:asciiTheme="minorEastAsia" w:hAnsiTheme="minorEastAsia" w:cstheme="minorEastAsia"/>
          <w:color w:val="auto"/>
          <w:sz w:val="24"/>
          <w:szCs w:val="24"/>
          <w:highlight w:val="none"/>
          <w:lang w:val="en-US" w:eastAsia="zh-CN"/>
        </w:rPr>
        <w:t xml:space="preserve">中</w:t>
      </w:r>
      <w:r>
        <w:rPr>
          <w:rFonts w:hint="eastAsia" w:asciiTheme="minorEastAsia" w:hAnsiTheme="minorEastAsia" w:eastAsiaTheme="minorEastAsia" w:cstheme="minorEastAsia"/>
          <w:color w:val="auto"/>
          <w:sz w:val="24"/>
          <w:szCs w:val="24"/>
          <w:highlight w:val="none"/>
        </w:rPr>
        <w:t xml:space="preserve">除标的物的价款外还应包括（但不限于）</w:t>
      </w:r>
      <w:r>
        <w:rPr>
          <w:rFonts w:hint="eastAsia" w:asciiTheme="minorEastAsia" w:hAnsiTheme="minorEastAsia" w:cstheme="minorEastAsia"/>
          <w:color w:val="auto"/>
          <w:sz w:val="24"/>
          <w:szCs w:val="24"/>
          <w:highlight w:val="none"/>
          <w:lang w:eastAsia="zh-CN"/>
        </w:rPr>
        <w:t xml:space="preserve">标的物、采购、包装、运输、验收、售后服务、货物（含附配件）的价格、辅材（包括但不限于完成本项目符合国标的网线、电线、开关、灯、铝方通造型四周收边等全部材料）、安装调试、包装费、运输费、装卸费、保险费、验收费、与各类系统对接、设备接入兼容所需的费用、技术服务费、检测费、售后服务费、保险、招标代理费、规费、税费等全部费用，报价时应逐项填写单价和报价，最后汇总得出总价</w:t>
      </w:r>
      <w:r>
        <w:rPr>
          <w:rFonts w:hint="eastAsia" w:asciiTheme="minorEastAsia" w:hAnsiTheme="minorEastAsia" w:eastAsiaTheme="minorEastAsia" w:cstheme="minorEastAsia"/>
          <w:color w:val="auto"/>
          <w:sz w:val="24"/>
          <w:szCs w:val="24"/>
          <w:highlight w:val="none"/>
        </w:rPr>
        <w:t xml:space="preserve">；</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采用按实结算方式，综合单价不论在何种情况下一律不予调整，供货时按实际供货并通过验收的数量结算。结算价=Σ中标综合单价*实际供货并通过验收的数量。</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、投标商需在投标之前充分调研</w:t>
      </w:r>
      <w:r>
        <w:rPr>
          <w:rFonts w:hint="eastAsia" w:asciiTheme="minorEastAsia" w:hAnsiTheme="minorEastAsia" w:eastAsiaTheme="minorEastAsia" w:cstheme="minorEastAsia"/>
          <w:color w:val="auto"/>
          <w:sz w:val="24"/>
          <w:szCs w:val="24"/>
          <w:highlight w:val="none"/>
          <w:lang w:val="en-US" w:eastAsia="zh-CN"/>
        </w:rPr>
        <w:t xml:space="preserve">现状</w:t>
      </w:r>
      <w:r>
        <w:rPr>
          <w:rFonts w:hint="eastAsia" w:asciiTheme="minorEastAsia" w:hAnsiTheme="minorEastAsia" w:eastAsiaTheme="minorEastAsia" w:cstheme="minorEastAsia"/>
          <w:color w:val="auto"/>
          <w:sz w:val="24"/>
          <w:szCs w:val="24"/>
          <w:highlight w:val="none"/>
        </w:rPr>
        <w:t xml:space="preserve">，所投的报价含系统开发、升级、调试、对接、运维、培训、</w:t>
      </w:r>
      <w:r>
        <w:rPr>
          <w:rFonts w:hint="eastAsia" w:asciiTheme="minorEastAsia" w:hAnsiTheme="minorEastAsia" w:eastAsiaTheme="minorEastAsia" w:cstheme="minorEastAsia"/>
          <w:color w:val="auto"/>
          <w:sz w:val="24"/>
          <w:szCs w:val="24"/>
          <w:highlight w:val="none"/>
          <w:lang w:val="en-US" w:eastAsia="zh-CN"/>
        </w:rPr>
        <w:t xml:space="preserve">服务费、</w:t>
      </w:r>
      <w:r>
        <w:rPr>
          <w:rFonts w:hint="eastAsia" w:asciiTheme="minorEastAsia" w:hAnsiTheme="minorEastAsia" w:eastAsiaTheme="minorEastAsia" w:cstheme="minorEastAsia"/>
          <w:color w:val="auto"/>
          <w:sz w:val="24"/>
          <w:szCs w:val="24"/>
          <w:highlight w:val="none"/>
        </w:rPr>
        <w:t xml:space="preserve">税金及质保期内的后续服务一切费用，即甲方不再另行支付其他费用。</w:t>
      </w:r>
      <w:r/>
    </w:p>
    <w:p>
      <w:pPr>
        <w:numPr>
          <w:ilvl w:val="0"/>
          <w:numId w:val="0"/>
        </w:numPr>
        <w:ind w:left="420"/>
        <w:keepLines w:val="0"/>
        <w:keepNext w:val="0"/>
        <w:pageBreakBefore w:val="0"/>
        <w:spacing w:line="460" w:lineRule="exact"/>
        <w:widowControl w:val="off"/>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 xml:space="preserve">三</w:t>
      </w:r>
      <w:r>
        <w:rPr>
          <w:rFonts w:hint="eastAsia" w:asciiTheme="minorEastAsia" w:hAnsiTheme="minorEastAsia" w:eastAsiaTheme="minorEastAsia" w:cstheme="minorEastAsia"/>
          <w:b/>
          <w:bCs/>
          <w:color w:val="auto"/>
          <w:sz w:val="24"/>
          <w:szCs w:val="24"/>
          <w:highlight w:val="none"/>
          <w:lang w:val="en-US" w:eastAsia="zh-CN"/>
        </w:rPr>
        <w:t xml:space="preserve">、商务要求</w:t>
      </w:r>
      <w:r/>
    </w:p>
    <w:p>
      <w:pPr>
        <w:ind w:firstLine="48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highlight w:val="none"/>
        </w:rPr>
      </w:pPr>
      <w:r/>
      <w:bookmarkStart w:id="172" w:name="_Hlk157591027"/>
      <w:r/>
      <w:bookmarkStart w:id="173" w:name="_Hlk161135196"/>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一</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项目完成</w:t>
      </w:r>
      <w:bookmarkEnd w:id="172"/>
      <w:r>
        <w:rPr>
          <w:rFonts w:hint="eastAsia" w:asciiTheme="minorEastAsia" w:hAnsiTheme="minorEastAsia" w:eastAsiaTheme="minorEastAsia" w:cstheme="minorEastAsia"/>
          <w:color w:val="auto"/>
          <w:sz w:val="24"/>
          <w:szCs w:val="24"/>
          <w:highlight w:val="none"/>
        </w:rPr>
        <w:t xml:space="preserve">时间、地点</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要求</w:t>
      </w:r>
      <w:r>
        <w:rPr>
          <w:rFonts w:hint="eastAsia" w:asciiTheme="minorEastAsia" w:hAnsiTheme="minorEastAsia" w:eastAsiaTheme="minorEastAsia" w:cstheme="minorEastAsia"/>
          <w:color w:val="auto"/>
          <w:sz w:val="24"/>
          <w:szCs w:val="24"/>
          <w:highlight w:val="none"/>
        </w:rPr>
        <w:t xml:space="preserve">：</w:t>
      </w:r>
      <w:r/>
    </w:p>
    <w:p>
      <w:pPr>
        <w:ind w:firstLine="480"/>
        <w:spacing w:line="46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1.项目完成时间：</w:t>
      </w:r>
      <w:r>
        <w:rPr>
          <w:rFonts w:hint="eastAsia" w:asciiTheme="minorEastAsia" w:hAnsiTheme="minorEastAsia" w:eastAsiaTheme="minorEastAsia" w:cstheme="minorEastAsia"/>
          <w:color w:val="auto"/>
          <w:sz w:val="24"/>
          <w:szCs w:val="24"/>
          <w:highlight w:val="none"/>
          <w:lang w:eastAsia="zh-CN"/>
        </w:rPr>
        <w:t xml:space="preserve">合同签订后</w:t>
      </w:r>
      <w:r>
        <w:rPr>
          <w:rFonts w:hint="eastAsia" w:asciiTheme="minorEastAsia" w:hAnsiTheme="minorEastAsia" w:cstheme="minorEastAsia"/>
          <w:color w:val="auto"/>
          <w:sz w:val="24"/>
          <w:szCs w:val="24"/>
          <w:highlight w:val="none"/>
          <w:lang w:eastAsia="zh-CN"/>
        </w:rPr>
        <w:t xml:space="preserve">30日历天</w:t>
      </w:r>
      <w:r>
        <w:rPr>
          <w:rFonts w:hint="eastAsia" w:asciiTheme="minorEastAsia" w:hAnsiTheme="minorEastAsia" w:eastAsiaTheme="minorEastAsia" w:cstheme="minorEastAsia"/>
          <w:color w:val="auto"/>
          <w:sz w:val="24"/>
          <w:szCs w:val="24"/>
          <w:highlight w:val="none"/>
          <w:lang w:eastAsia="zh-CN"/>
        </w:rPr>
        <w:t xml:space="preserve">内货物全部送达招标人指定位置且安装、调试完毕，并确保正常稳定运行。</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2.项目地点：采购人指定地点。</w:t>
      </w:r>
      <w:r/>
    </w:p>
    <w:p>
      <w:pPr>
        <w:ind w:firstLine="480"/>
        <w:spacing w:line="46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3.中标人需严密组织设备安装工作，并建立项目台账资料备查。</w:t>
      </w:r>
      <w:r/>
    </w:p>
    <w:p>
      <w:pPr>
        <w:ind w:firstLine="48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二</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培训</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质保要求及</w:t>
      </w:r>
      <w:r>
        <w:rPr>
          <w:rFonts w:hint="eastAsia" w:asciiTheme="minorEastAsia" w:hAnsiTheme="minorEastAsia" w:eastAsiaTheme="minorEastAsia" w:cstheme="minorEastAsia"/>
          <w:color w:val="auto"/>
          <w:sz w:val="24"/>
          <w:szCs w:val="24"/>
          <w:highlight w:val="none"/>
        </w:rPr>
        <w:t xml:space="preserve">售后服务</w:t>
      </w:r>
      <w:r/>
    </w:p>
    <w:p>
      <w:pPr>
        <w:ind w:firstLine="480"/>
        <w:keepLines w:val="0"/>
        <w:keepNext w:val="0"/>
        <w:pageBreakBefore w:val="0"/>
        <w:spacing w:line="460" w:lineRule="exact"/>
        <w:widowControl w:val="off"/>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1.培训要求</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1</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根据采购单位要求，中标人提供现场操作培训，至操作人员可熟练操作。</w:t>
      </w:r>
      <w:r/>
    </w:p>
    <w:p>
      <w:pPr>
        <w:ind w:firstLine="480"/>
        <w:spacing w:line="46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投标人为本项目培训中自有或聘用的培训师具有物理、化学、生物或信息技术专业高级教师资格证书</w:t>
      </w:r>
      <w:r>
        <w:rPr>
          <w:rFonts w:hint="eastAsia" w:asciiTheme="minorEastAsia" w:hAnsiTheme="minorEastAsia" w:cstheme="minorEastAsia"/>
          <w:color w:val="auto"/>
          <w:sz w:val="24"/>
          <w:szCs w:val="24"/>
          <w:highlight w:val="none"/>
          <w:lang w:eastAsia="zh-CN"/>
        </w:rPr>
        <w:t xml:space="preserve">。</w:t>
      </w:r>
      <w:r/>
    </w:p>
    <w:p>
      <w:pPr>
        <w:ind w:firstLine="480"/>
        <w:spacing w:line="46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（3）软件</w:t>
      </w:r>
      <w:r>
        <w:rPr>
          <w:rFonts w:hint="eastAsia" w:asciiTheme="minorEastAsia" w:hAnsiTheme="minorEastAsia" w:eastAsiaTheme="minorEastAsia" w:cstheme="minorEastAsia"/>
          <w:color w:val="auto"/>
          <w:sz w:val="24"/>
          <w:szCs w:val="24"/>
          <w:highlight w:val="none"/>
          <w:lang w:val="en-US" w:eastAsia="zh-CN"/>
        </w:rPr>
        <w:t xml:space="preserve">产品厂家提供不少于6次的免费培训，并配合</w:t>
      </w:r>
      <w:r>
        <w:rPr>
          <w:rFonts w:hint="eastAsia" w:asciiTheme="minorEastAsia" w:hAnsiTheme="minorEastAsia" w:cstheme="minorEastAsia"/>
          <w:color w:val="auto"/>
          <w:sz w:val="24"/>
          <w:szCs w:val="24"/>
          <w:highlight w:val="none"/>
          <w:lang w:val="en-US" w:eastAsia="zh-CN"/>
        </w:rPr>
        <w:t xml:space="preserve">学校</w:t>
      </w:r>
      <w:r>
        <w:rPr>
          <w:rFonts w:hint="eastAsia" w:asciiTheme="minorEastAsia" w:hAnsiTheme="minorEastAsia" w:eastAsiaTheme="minorEastAsia" w:cstheme="minorEastAsia"/>
          <w:color w:val="auto"/>
          <w:sz w:val="24"/>
          <w:szCs w:val="24"/>
          <w:highlight w:val="none"/>
          <w:lang w:val="en-US" w:eastAsia="zh-CN"/>
        </w:rPr>
        <w:t xml:space="preserve">每年参与省、市等有关部门组织的教学比赛3次以上（上级教育主管部门审批备案的），申请部级、省级课题时的培训和辅助制作相关内容 ，组织申报课题项目至少1个。（投标时投标人仅提供承诺书即可，中标人合同签订前提供相关厂家承诺）</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cstheme="minorEastAsia"/>
          <w:color w:val="auto"/>
          <w:sz w:val="24"/>
          <w:szCs w:val="24"/>
          <w:highlight w:val="none"/>
          <w:lang w:val="en-US" w:eastAsia="zh-CN"/>
        </w:rPr>
        <w:t xml:space="preserve">质保</w:t>
      </w:r>
      <w:r>
        <w:rPr>
          <w:rFonts w:hint="eastAsia" w:asciiTheme="minorEastAsia" w:hAnsiTheme="minorEastAsia" w:eastAsiaTheme="minorEastAsia" w:cstheme="minorEastAsia"/>
          <w:color w:val="auto"/>
          <w:sz w:val="24"/>
          <w:szCs w:val="24"/>
          <w:highlight w:val="none"/>
        </w:rPr>
        <w:t xml:space="preserve">要求：</w:t>
      </w:r>
      <w:r/>
    </w:p>
    <w:p>
      <w:pPr>
        <w:ind w:firstLine="480"/>
        <w:spacing w:line="460" w:lineRule="exac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1</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所投产品免费质保期不低于3年。（质保期以项目最终验收之日起算，包含软件维护、故障的调试及升级；中标人须保证所供系统的使用期为永久，保证招标人所购产品的有效性和合法性，中标人所投系统如非自主产权，须在签订合同前提供产权所有权人针对招标人的永久使用授权）。</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乙方应按招标文件规定的</w:t>
      </w:r>
      <w:r>
        <w:rPr>
          <w:rFonts w:hint="eastAsia" w:asciiTheme="minorEastAsia" w:hAnsiTheme="minorEastAsia" w:eastAsiaTheme="minorEastAsia" w:cstheme="minorEastAsia"/>
          <w:color w:val="auto"/>
          <w:sz w:val="24"/>
          <w:szCs w:val="24"/>
          <w:highlight w:val="none"/>
          <w:lang w:val="en-US" w:eastAsia="zh-CN"/>
        </w:rPr>
        <w:t xml:space="preserve">服务</w:t>
      </w:r>
      <w:r>
        <w:rPr>
          <w:rFonts w:hint="eastAsia" w:asciiTheme="minorEastAsia" w:hAnsiTheme="minorEastAsia" w:eastAsiaTheme="minorEastAsia" w:cstheme="minorEastAsia"/>
          <w:color w:val="auto"/>
          <w:sz w:val="24"/>
          <w:szCs w:val="24"/>
          <w:highlight w:val="none"/>
        </w:rPr>
        <w:t xml:space="preserve">技术要求、质量标准向甲方提供</w:t>
      </w:r>
      <w:r>
        <w:rPr>
          <w:rFonts w:hint="eastAsia" w:asciiTheme="minorEastAsia" w:hAnsiTheme="minorEastAsia" w:eastAsiaTheme="minorEastAsia" w:cstheme="minorEastAsia"/>
          <w:color w:val="auto"/>
          <w:sz w:val="24"/>
          <w:szCs w:val="24"/>
          <w:highlight w:val="none"/>
          <w:lang w:val="en-US" w:eastAsia="zh-CN"/>
        </w:rPr>
        <w:t xml:space="preserve">合格服务</w:t>
      </w:r>
      <w:r>
        <w:rPr>
          <w:rFonts w:hint="eastAsia" w:asciiTheme="minorEastAsia" w:hAnsiTheme="minorEastAsia" w:eastAsiaTheme="minorEastAsia" w:cstheme="minorEastAsia"/>
          <w:color w:val="auto"/>
          <w:sz w:val="24"/>
          <w:szCs w:val="24"/>
          <w:highlight w:val="none"/>
        </w:rPr>
        <w:t xml:space="preserve">。</w:t>
      </w:r>
      <w:r/>
    </w:p>
    <w:p>
      <w:pPr>
        <w:ind w:firstLine="480"/>
        <w:spacing w:line="46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在质保保证期内，乙方为用户提供7*24小时电话或电子邮件服务，响应时间不超过30分钟，2小时内远程排除故障，若电话或网络中无法排除故障，维修人员须4小时内到达现场解决，到达现场后12小时内免费修复；无法修复时2日内免费更换配件，维修至正常工作，并保证所换配件满足招标文件要求，如72小时内不能到位的，甲方有权自行维修或更换配件，其费用在乙方合同余款中扣除，且另按500元／天从合同余款中扣除违约金，直至本次维修项通过验收。</w:t>
      </w:r>
      <w:r/>
    </w:p>
    <w:p>
      <w:pPr>
        <w:ind w:firstLine="480"/>
        <w:spacing w:line="46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质量保证期满后，供应商和厂家应同样提供免费电话咨询服务，并以优惠价格提供售后服务</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spacing w:line="46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如甲方使用不当造成货物的毁损，乙方有义务协助维修。</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遵守相关保密协议，保证不擅自使用用户数据，并不将用户数据泄露给第三方。</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（三）验收</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甲方依法组织履约验收工作。</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按采购人的招标文件、投标人的响应文件、国家及行业相关规定验收</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对于实际使用人和甲方分离的项目，甲方邀请实际使用人参与验收。</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如有必要，甲方邀请参加本项目的其他供应商或第三方专业机构及专家参与验收，相关意见将作为验收书的参考资料。</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6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验收标准如下：</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A、产品为全新，未使用过的原装合格正品，安装质量符合各项技术标准和国家强制性标准；</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B、货物到达现场后，乙方必须在使用单位人员在场情况下当面开箱，共同清点、检查外观，箱记录，双方签字确认。</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C、乙方应保证货物到达甲方所在地完好无损，如有缺漏、损坏，由乙方负责调换、补齐或赔偿。</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D、乙方应提供完备的技术资料、装箱单和合格证等，验收合格条件（标准）如下：</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①设备技术参数与采购合同一致，性能指标达到规定的标准。</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②货物技术资料、装箱单、合格证等资料齐全。</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③在系统试运行期间所出现的问题得到解决，并运行正常。</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④在规定时间内完成交货并验收，并经甲方确认。</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E、乙方须完成甲方所有采购的软硬件产品安装调试工作，须符合甲方要求并试运行1个月后，才作为最终验收。</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F、乙方提供的货物未达到采购文件规定要求，且对甲方造成损失的，由乙方承担一切责任，并赔偿所造成的损失。</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G、甲方可邀请国家认可的质量检测机构参加验收工作。</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H、甲方需要制造商对乙方交付的产品（包括质量、技术参数等）进行确认的，乙方须无条件配合，并出具书面确认证明。</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I、产品包装材料归甲方所有。</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（四）付款方式：</w:t>
      </w:r>
      <w:bookmarkEnd w:id="173"/>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合同签订后30日内，支付合同金额30%的预付款。</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2、所有货物安装完毕，甲方组织初步验收，初步验收合格后收到乙方发票10个工作日内甲方向乙方支付至合同总价的</w:t>
      </w:r>
      <w:r>
        <w:rPr>
          <w:rFonts w:hint="eastAsia" w:asciiTheme="minorEastAsia" w:hAnsi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lang w:val="en-US" w:eastAsia="zh-CN"/>
        </w:rPr>
        <w:t xml:space="preserve">0%款项</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spacing w:line="46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3、初步验收合格且项目运行满12个月后，甲方组织最终验收，最终验收合格后收到乙方发票10个工作日内甲方付清货款；</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在签订合同时，乙方明确表示无需预付款或者主动要求降低预付款比例的，甲方可不适用上述关于预付款的规定。</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结算款项时乙方须出具相应金额的有效票据。</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甲方原则上自收到发票后</w:t>
      </w:r>
      <w:r>
        <w:rPr>
          <w:rFonts w:hint="eastAsia" w:asciiTheme="minorEastAsia" w:hAnsiTheme="minorEastAsia" w:eastAsiaTheme="minorEastAsia" w:cstheme="minorEastAsia"/>
          <w:color w:val="auto"/>
          <w:sz w:val="24"/>
          <w:szCs w:val="24"/>
          <w:highlight w:val="none"/>
          <w:lang w:val="en-US" w:eastAsia="zh-CN"/>
        </w:rPr>
        <w:t xml:space="preserve">10</w:t>
      </w:r>
      <w:r>
        <w:rPr>
          <w:rFonts w:hint="eastAsia" w:asciiTheme="minorEastAsia" w:hAnsiTheme="minorEastAsia" w:eastAsiaTheme="minorEastAsia" w:cstheme="minorEastAsia"/>
          <w:color w:val="auto"/>
          <w:sz w:val="24"/>
          <w:szCs w:val="24"/>
          <w:highlight w:val="none"/>
        </w:rPr>
        <w:t xml:space="preserve">个工作日内将资金支付到乙方账户。</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当采购数量与实际使用数量不一致时，乙方应根据实际使用量供货，合同的最终结算金额按实际使用量乘以成交单价进行计算。</w:t>
      </w:r>
      <w:r/>
    </w:p>
    <w:p>
      <w:pPr>
        <w:ind w:firstLine="480"/>
        <w:spacing w:line="460" w:lineRule="exact"/>
        <w:rPr>
          <w:rFonts w:hint="eastAsia" w:eastAsia="宋体" w:asciiTheme="minorEastAsia" w:hAnsiTheme="minorEastAsia" w:cstheme="minorEastAsia"/>
          <w:color w:val="auto"/>
          <w:sz w:val="24"/>
          <w:szCs w:val="24"/>
          <w:highlight w:val="none"/>
          <w:lang w:val="en-US" w:eastAsia="zh-CN"/>
        </w:rPr>
      </w:pPr>
      <w:r>
        <w:rPr>
          <w:rFonts w:hint="eastAsia" w:eastAsia="宋体" w:asciiTheme="minorEastAsia" w:hAnsiTheme="minorEastAsia" w:cstheme="minorEastAsia"/>
          <w:color w:val="auto"/>
          <w:sz w:val="24"/>
          <w:szCs w:val="24"/>
          <w:highlight w:val="none"/>
          <w:lang w:val="en-US" w:eastAsia="zh-CN"/>
        </w:rPr>
        <w:t xml:space="preserve">注：依据《保障中小企业款项支付条例》（2020年7月5日中华人民共和国国务院令第728号公布　2025年3月17日中华人民共和国国务院令第802号修订 自2025年6月1日起施行）第九条　机关、事业单位从中小企业采购货物、工程、服务，应当自货物、工程、服务交付之日起30日内支付款项；合同另有约定的，从其约定，但付款期限最长不得超过60日。</w:t>
      </w:r>
      <w:r/>
    </w:p>
    <w:p>
      <w:pPr>
        <w:ind w:left="420"/>
        <w:spacing w:line="46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五、演示要求 </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上传视频演示</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（1）上传视频及演示内容：</w:t>
      </w:r>
      <w:r>
        <w:rPr>
          <w:rFonts w:hint="eastAsia" w:asciiTheme="minorEastAsia" w:hAnsiTheme="minorEastAsia" w:eastAsiaTheme="minorEastAsia" w:cstheme="minorEastAsia"/>
          <w:color w:val="auto"/>
          <w:sz w:val="24"/>
          <w:szCs w:val="24"/>
          <w:highlight w:val="none"/>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在演示过程中如若出现无法打开，识别，格式错误等情况导致无法进行评审打分的，责任由投标人承担，演示视频超出规定时间的视为不响应，不得分。</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其他视频要求：</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请按照演示内容逐条演示，明确演示功能是否满足以及实现途径。</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视频质量要求画面清晰可见，语音清晰可辨，因视频制作质量导致演示内容无法满足招标文件要求的，视为负偏离。</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系统演示视频不得为PPT等静态图片方式，否则视为负偏离。</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3.演示内容：</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详见评标方法与评标标准。</w:t>
      </w:r>
      <w:r/>
    </w:p>
    <w:p>
      <w:pPr>
        <w:ind w:left="420"/>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六、</w:t>
      </w:r>
      <w:r>
        <w:rPr>
          <w:rFonts w:hint="eastAsia" w:ascii="宋体" w:hAnsi="宋体" w:cs="宋体"/>
          <w:b/>
          <w:bCs/>
          <w:color w:val="auto"/>
          <w:sz w:val="28"/>
          <w:szCs w:val="28"/>
          <w:highlight w:val="none"/>
        </w:rPr>
        <w:t xml:space="preserve">本项目</w:t>
      </w:r>
      <w:r>
        <w:rPr>
          <w:rFonts w:hint="eastAsia" w:ascii="宋体" w:hAnsi="宋体" w:cs="宋体"/>
          <w:b/>
          <w:bCs/>
          <w:color w:val="auto"/>
          <w:sz w:val="28"/>
          <w:szCs w:val="28"/>
          <w:highlight w:val="none"/>
          <w:u w:val="single"/>
        </w:rPr>
        <w:t xml:space="preserve"> 不接受 </w:t>
      </w:r>
      <w:r>
        <w:rPr>
          <w:rFonts w:hint="eastAsia" w:ascii="宋体" w:hAnsi="宋体" w:cs="宋体"/>
          <w:b/>
          <w:bCs/>
          <w:color w:val="auto"/>
          <w:sz w:val="28"/>
          <w:szCs w:val="28"/>
          <w:highlight w:val="none"/>
        </w:rPr>
        <w:t xml:space="preserve">进口产品投标（接受/不接受）</w:t>
      </w:r>
      <w:r/>
    </w:p>
    <w:p>
      <w:pPr>
        <w:ind w:left="420"/>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七、</w:t>
      </w:r>
      <w:r>
        <w:rPr>
          <w:rFonts w:hint="eastAsia" w:ascii="宋体" w:hAnsi="宋体" w:cs="宋体"/>
          <w:b/>
          <w:bCs/>
          <w:color w:val="auto"/>
          <w:sz w:val="28"/>
          <w:szCs w:val="28"/>
          <w:highlight w:val="none"/>
        </w:rPr>
        <w:t xml:space="preserve">采购标的对应的中小企业划分标准所属行业一览表</w:t>
      </w:r>
      <w:r/>
    </w:p>
    <w:tbl>
      <w:tblPr>
        <w:tblStyle w:val="715"/>
        <w:tblW w:w="8799"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4439"/>
        <w:gridCol w:w="3494"/>
      </w:tblGrid>
      <w:tr>
        <w:trPr>
          <w:jc w:val="center"/>
          <w:tblCellSpacing w:w="0" w:type="dxa"/>
          <w:trHeight w:val="309"/>
        </w:trPr>
        <w:tc>
          <w:tcPr>
            <w:shd w:val="clear" w:color="auto" w:fill="auto"/>
            <w:tcW w:w="8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序号</w:t>
            </w:r>
            <w:r/>
          </w:p>
        </w:tc>
        <w:tc>
          <w:tcPr>
            <w:shd w:val="clear" w:color="auto" w:fill="auto"/>
            <w:tcW w:w="44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采购标的</w:t>
            </w:r>
            <w:r/>
          </w:p>
        </w:tc>
        <w:tc>
          <w:tcPr>
            <w:shd w:val="clear" w:color="auto" w:fill="auto"/>
            <w:tcW w:w="34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对应中小企业划分标准所属行业</w:t>
            </w:r>
            <w:r/>
          </w:p>
        </w:tc>
      </w:tr>
      <w:tr>
        <w:trPr>
          <w:jc w:val="center"/>
          <w:tblCellSpacing w:w="0" w:type="dxa"/>
          <w:trHeight w:val="296"/>
        </w:trPr>
        <w:tc>
          <w:tcPr>
            <w:shd w:val="clear" w:color="auto" w:fill="auto"/>
            <w:tcW w:w="86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4439" w:type="dxa"/>
            <w:vAlign w:val="center"/>
            <w:textDirection w:val="lrTb"/>
            <w:noWrap w:val="false"/>
          </w:tcPr>
          <w:p>
            <w:pPr>
              <w:jc w:val="center"/>
              <w:widowControl/>
              <w:rPr>
                <w:rFonts w:hint="eastAsia" w:ascii="仿宋" w:hAnsi="仿宋" w:eastAsia="仿宋" w:cs="仿宋"/>
                <w:color w:val="auto"/>
                <w:sz w:val="18"/>
                <w:szCs w:val="18"/>
                <w:highlight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穿戴式学生VR终端</w:t>
            </w:r>
            <w:r/>
          </w:p>
        </w:tc>
        <w:tc>
          <w:tcPr>
            <w:shd w:val="clear" w:color="auto" w:fill="auto"/>
            <w:tcW w:w="34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jc w:val="center"/>
          <w:tblCellSpacing w:w="0" w:type="dxa"/>
          <w:trHeight w:val="296"/>
        </w:trPr>
        <w:tc>
          <w:tcPr>
            <w:shd w:val="clear" w:color="auto" w:fill="auto"/>
            <w:tcW w:w="8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443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穿戴式学生VR终端系统</w:t>
            </w:r>
            <w:r/>
          </w:p>
        </w:tc>
        <w:tc>
          <w:tcPr>
            <w:shd w:val="clear" w:color="auto" w:fill="auto"/>
            <w:tcW w:w="34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软件和信息技术服务业</w:t>
            </w:r>
            <w:r/>
          </w:p>
        </w:tc>
      </w:tr>
      <w:tr>
        <w:trPr>
          <w:jc w:val="center"/>
          <w:tblCellSpacing w:w="0" w:type="dxa"/>
          <w:trHeight w:val="296"/>
        </w:trPr>
        <w:tc>
          <w:tcPr>
            <w:shd w:val="clear" w:color="auto" w:fill="auto"/>
            <w:tcW w:w="86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W w:w="4439" w:type="dxa"/>
            <w:vAlign w:val="center"/>
            <w:textDirection w:val="lrTb"/>
            <w:noWrap w:val="false"/>
          </w:tcPr>
          <w:p>
            <w:pPr>
              <w:jc w:val="center"/>
              <w:widowControl/>
              <w:rPr>
                <w:rFonts w:hint="eastAsia" w:ascii="仿宋" w:hAnsi="仿宋" w:eastAsia="仿宋" w:cs="仿宋"/>
                <w:color w:val="auto"/>
                <w:sz w:val="18"/>
                <w:szCs w:val="18"/>
                <w:highlight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教师端VR教学管理系统</w:t>
            </w:r>
            <w:r/>
          </w:p>
        </w:tc>
        <w:tc>
          <w:tcPr>
            <w:shd w:val="clear" w:color="auto" w:fill="auto"/>
            <w:tcW w:w="34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软件和信息技术服务业</w:t>
            </w:r>
            <w:r/>
          </w:p>
        </w:tc>
      </w:tr>
      <w:tr>
        <w:trPr>
          <w:jc w:val="center"/>
          <w:tblCellSpacing w:w="0" w:type="dxa"/>
          <w:trHeight w:val="296"/>
        </w:trPr>
        <w:tc>
          <w:tcPr>
            <w:shd w:val="clear" w:color="auto" w:fill="auto"/>
            <w:tcW w:w="86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W w:w="4439" w:type="dxa"/>
            <w:vAlign w:val="center"/>
            <w:textDirection w:val="lrTb"/>
            <w:noWrap w:val="false"/>
          </w:tcPr>
          <w:p>
            <w:pPr>
              <w:jc w:val="center"/>
              <w:widowControl/>
              <w:rPr>
                <w:rFonts w:hint="eastAsia" w:ascii="仿宋" w:hAnsi="仿宋" w:eastAsia="仿宋" w:cs="仿宋"/>
                <w:color w:val="auto"/>
                <w:sz w:val="18"/>
                <w:szCs w:val="18"/>
                <w:highlight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融合学科VR教学资源</w:t>
            </w:r>
            <w:r/>
          </w:p>
        </w:tc>
        <w:tc>
          <w:tcPr>
            <w:shd w:val="clear" w:color="auto" w:fill="auto"/>
            <w:tcW w:w="34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jc w:val="center"/>
          <w:tblCellSpacing w:w="0" w:type="dxa"/>
          <w:trHeight w:val="323"/>
        </w:trPr>
        <w:tc>
          <w:tcPr>
            <w:shd w:val="clear" w:color="auto" w:fill="auto"/>
            <w:tcW w:w="86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W w:w="443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小学科学VR教学系统</w:t>
            </w:r>
            <w:r/>
          </w:p>
        </w:tc>
        <w:tc>
          <w:tcPr>
            <w:shd w:val="clear" w:color="auto" w:fill="auto"/>
            <w:tcW w:w="34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软件和信息技术服务业</w:t>
            </w:r>
            <w:r/>
          </w:p>
        </w:tc>
      </w:tr>
      <w:tr>
        <w:trPr>
          <w:jc w:val="center"/>
          <w:tblCellSpacing w:w="0" w:type="dxa"/>
          <w:trHeight w:val="296"/>
        </w:trPr>
        <w:tc>
          <w:tcPr>
            <w:shd w:val="clear" w:color="auto" w:fill="auto"/>
            <w:tcW w:w="86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W w:w="443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设备充电消毒一体柜</w:t>
            </w:r>
            <w:r/>
          </w:p>
        </w:tc>
        <w:tc>
          <w:tcPr>
            <w:shd w:val="clear" w:color="auto" w:fill="auto"/>
            <w:tcW w:w="349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jc w:val="center"/>
          <w:tblCellSpacing w:w="0" w:type="dxa"/>
          <w:trHeight w:val="296"/>
        </w:trPr>
        <w:tc>
          <w:tcPr>
            <w:shd w:val="clear" w:color="auto" w:fill="auto"/>
            <w:tcW w:w="86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W w:w="443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无线AP</w:t>
            </w:r>
            <w:r/>
          </w:p>
        </w:tc>
        <w:tc>
          <w:tcPr>
            <w:shd w:val="clear" w:color="auto" w:fill="auto"/>
            <w:tcW w:w="34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jc w:val="center"/>
          <w:tblCellSpacing w:w="0" w:type="dxa"/>
          <w:trHeight w:val="296"/>
        </w:trPr>
        <w:tc>
          <w:tcPr>
            <w:shd w:val="clear" w:color="auto" w:fill="auto"/>
            <w:tcW w:w="86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W w:w="443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裸眼XR便携终端</w:t>
            </w:r>
            <w:r/>
          </w:p>
        </w:tc>
        <w:tc>
          <w:tcPr>
            <w:shd w:val="clear" w:color="auto" w:fill="auto"/>
            <w:tcW w:w="34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jc w:val="center"/>
          <w:tblCellSpacing w:w="0" w:type="dxa"/>
          <w:trHeight w:val="296"/>
        </w:trPr>
        <w:tc>
          <w:tcPr>
            <w:shd w:val="clear" w:color="auto" w:fill="auto"/>
            <w:tcW w:w="86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W w:w="443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裸眼XR便携终端配件包</w:t>
            </w:r>
            <w:r/>
          </w:p>
        </w:tc>
        <w:tc>
          <w:tcPr>
            <w:shd w:val="clear" w:color="auto" w:fill="auto"/>
            <w:tcW w:w="34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jc w:val="center"/>
          <w:tblCellSpacing w:w="0" w:type="dxa"/>
          <w:trHeight w:val="296"/>
        </w:trPr>
        <w:tc>
          <w:tcPr>
            <w:shd w:val="clear" w:color="auto" w:fill="auto"/>
            <w:tcW w:w="86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W w:w="443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偏振式3DVR便携式终端</w:t>
            </w:r>
            <w:r/>
          </w:p>
        </w:tc>
        <w:tc>
          <w:tcPr>
            <w:shd w:val="clear" w:color="auto" w:fill="auto"/>
            <w:tcW w:w="34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jc w:val="center"/>
          <w:tblCellSpacing w:w="0" w:type="dxa"/>
          <w:trHeight w:val="296"/>
        </w:trPr>
        <w:tc>
          <w:tcPr>
            <w:shd w:val="clear" w:color="auto" w:fill="auto"/>
            <w:tcW w:w="866" w:type="dxa"/>
            <w:vAlign w:val="center"/>
            <w:textDirection w:val="lrTb"/>
            <w:noWrap w:val="false"/>
          </w:tcPr>
          <w:p>
            <w:pPr>
              <w:jc w:val="center"/>
              <w:keepLines w:val="0"/>
              <w:keepNext w:val="0"/>
              <w:widowControl/>
              <w:rPr>
                <w:rFonts w:hint="default" w:ascii="仿宋" w:hAnsi="仿宋" w:eastAsia="仿宋" w:cs="仿宋"/>
                <w:color w:val="auto"/>
                <w:sz w:val="18"/>
                <w:szCs w:val="18"/>
                <w:highlight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W w:w="443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观察眼镜</w:t>
            </w:r>
            <w:r/>
          </w:p>
        </w:tc>
        <w:tc>
          <w:tcPr>
            <w:shd w:val="clear" w:color="auto" w:fill="auto"/>
            <w:tcW w:w="34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jc w:val="center"/>
          <w:tblCellSpacing w:w="0" w:type="dxa"/>
          <w:trHeight w:val="296"/>
        </w:trPr>
        <w:tc>
          <w:tcPr>
            <w:shd w:val="clear" w:color="auto" w:fill="auto"/>
            <w:tcW w:w="866" w:type="dxa"/>
            <w:vAlign w:val="center"/>
            <w:textDirection w:val="lrTb"/>
            <w:noWrap w:val="false"/>
          </w:tcPr>
          <w:p>
            <w:pPr>
              <w:jc w:val="center"/>
              <w:keepLines w:val="0"/>
              <w:keepNext w:val="0"/>
              <w:widowControl/>
              <w:rPr>
                <w:rFonts w:hint="default" w:ascii="仿宋" w:hAnsi="仿宋" w:eastAsia="仿宋" w:cs="仿宋"/>
                <w:color w:val="auto"/>
                <w:sz w:val="18"/>
                <w:szCs w:val="18"/>
                <w:highlight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W w:w="443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VR资源制作软件</w:t>
            </w:r>
            <w:r/>
          </w:p>
        </w:tc>
        <w:tc>
          <w:tcPr>
            <w:shd w:val="clear" w:color="auto" w:fill="auto"/>
            <w:tcW w:w="34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软件和信息技术服务业</w:t>
            </w:r>
            <w:r/>
          </w:p>
        </w:tc>
      </w:tr>
      <w:tr>
        <w:trPr>
          <w:jc w:val="center"/>
          <w:tblCellSpacing w:w="0" w:type="dxa"/>
          <w:trHeight w:val="296"/>
        </w:trPr>
        <w:tc>
          <w:tcPr>
            <w:shd w:val="clear" w:color="auto" w:fill="auto"/>
            <w:tcW w:w="866" w:type="dxa"/>
            <w:vAlign w:val="center"/>
            <w:textDirection w:val="lrTb"/>
            <w:noWrap w:val="false"/>
          </w:tcPr>
          <w:p>
            <w:pPr>
              <w:jc w:val="center"/>
              <w:keepLines w:val="0"/>
              <w:keepNext w:val="0"/>
              <w:widowControl/>
              <w:rPr>
                <w:rFonts w:hint="default" w:ascii="仿宋" w:hAnsi="仿宋" w:eastAsia="仿宋" w:cs="仿宋"/>
                <w:color w:val="auto"/>
                <w:sz w:val="18"/>
                <w:szCs w:val="18"/>
                <w:highlight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W w:w="443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3D 智慧黑板</w:t>
            </w:r>
            <w:r/>
          </w:p>
        </w:tc>
        <w:tc>
          <w:tcPr>
            <w:shd w:val="clear" w:color="auto" w:fill="auto"/>
            <w:tcW w:w="34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jc w:val="center"/>
          <w:tblCellSpacing w:w="0" w:type="dxa"/>
          <w:trHeight w:val="296"/>
        </w:trPr>
        <w:tc>
          <w:tcPr>
            <w:shd w:val="clear" w:color="auto" w:fill="auto"/>
            <w:tcW w:w="866" w:type="dxa"/>
            <w:vAlign w:val="center"/>
            <w:textDirection w:val="lrTb"/>
            <w:noWrap w:val="false"/>
          </w:tcPr>
          <w:p>
            <w:pPr>
              <w:jc w:val="center"/>
              <w:keepLines w:val="0"/>
              <w:keepNext w:val="0"/>
              <w:widowControl/>
              <w:rPr>
                <w:rFonts w:hint="default" w:ascii="仿宋" w:hAnsi="仿宋" w:eastAsia="仿宋" w:cs="仿宋"/>
                <w:color w:val="auto"/>
                <w:sz w:val="18"/>
                <w:szCs w:val="18"/>
                <w:highlight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W w:w="443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八边形操作台</w:t>
            </w:r>
            <w:r/>
          </w:p>
        </w:tc>
        <w:tc>
          <w:tcPr>
            <w:shd w:val="clear" w:color="auto" w:fill="auto"/>
            <w:tcW w:w="34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jc w:val="center"/>
          <w:tblCellSpacing w:w="0" w:type="dxa"/>
          <w:trHeight w:val="296"/>
        </w:trPr>
        <w:tc>
          <w:tcPr>
            <w:shd w:val="clear" w:color="auto" w:fill="auto"/>
            <w:tcW w:w="866" w:type="dxa"/>
            <w:vAlign w:val="center"/>
            <w:textDirection w:val="lrTb"/>
            <w:noWrap w:val="false"/>
          </w:tcPr>
          <w:p>
            <w:pPr>
              <w:jc w:val="center"/>
              <w:keepLines w:val="0"/>
              <w:keepNext w:val="0"/>
              <w:widowControl/>
              <w:rPr>
                <w:rFonts w:hint="default" w:ascii="仿宋" w:hAnsi="仿宋" w:eastAsia="仿宋" w:cs="仿宋"/>
                <w:color w:val="auto"/>
                <w:sz w:val="18"/>
                <w:szCs w:val="18"/>
                <w:highlight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W w:w="4439" w:type="dxa"/>
            <w:vAlign w:val="center"/>
            <w:textDirection w:val="lrTb"/>
            <w:noWrap w:val="false"/>
          </w:tcPr>
          <w:p>
            <w:pPr>
              <w:jc w:val="center"/>
              <w:widowControl/>
              <w:rPr>
                <w:rFonts w:hint="eastAsia" w:ascii="仿宋" w:hAnsi="仿宋" w:eastAsia="仿宋" w:cs="仿宋"/>
                <w:color w:val="auto"/>
                <w:sz w:val="18"/>
                <w:szCs w:val="18"/>
                <w:highlight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全钢讲台</w:t>
            </w:r>
            <w:r/>
          </w:p>
        </w:tc>
        <w:tc>
          <w:tcPr>
            <w:shd w:val="clear" w:color="auto" w:fill="auto"/>
            <w:tcW w:w="34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jc w:val="center"/>
          <w:tblCellSpacing w:w="0" w:type="dxa"/>
          <w:trHeight w:val="296"/>
        </w:trPr>
        <w:tc>
          <w:tcPr>
            <w:shd w:val="clear" w:color="auto" w:fill="auto"/>
            <w:tcW w:w="866" w:type="dxa"/>
            <w:vAlign w:val="center"/>
            <w:textDirection w:val="lrTb"/>
            <w:noWrap w:val="false"/>
          </w:tcPr>
          <w:p>
            <w:pPr>
              <w:jc w:val="center"/>
              <w:keepLines w:val="0"/>
              <w:keepNext w:val="0"/>
              <w:widowControl/>
              <w:rPr>
                <w:rFonts w:hint="default" w:ascii="仿宋" w:hAnsi="仿宋" w:eastAsia="仿宋" w:cs="仿宋"/>
                <w:color w:val="auto"/>
                <w:sz w:val="18"/>
                <w:szCs w:val="18"/>
                <w:highlight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W w:w="443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学生凳</w:t>
            </w:r>
            <w:r/>
          </w:p>
        </w:tc>
        <w:tc>
          <w:tcPr>
            <w:shd w:val="clear" w:color="auto" w:fill="auto"/>
            <w:tcW w:w="3494"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工业</w:t>
            </w:r>
            <w:r/>
          </w:p>
        </w:tc>
      </w:tr>
      <w:tr>
        <w:trPr>
          <w:jc w:val="center"/>
          <w:tblCellSpacing w:w="0" w:type="dxa"/>
          <w:trHeight w:val="296"/>
        </w:trPr>
        <w:tc>
          <w:tcPr>
            <w:shd w:val="clear" w:color="auto" w:fill="auto"/>
            <w:tcW w:w="866" w:type="dxa"/>
            <w:vAlign w:val="center"/>
            <w:textDirection w:val="lrTb"/>
            <w:noWrap w:val="false"/>
          </w:tcPr>
          <w:p>
            <w:pPr>
              <w:jc w:val="center"/>
              <w:widowControl/>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 xml:space="preserve">17</w:t>
            </w:r>
            <w:r/>
          </w:p>
        </w:tc>
        <w:tc>
          <w:tcPr>
            <w:shd w:val="clear" w:color="auto" w:fill="auto"/>
            <w:tcW w:w="443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储物柜</w:t>
            </w:r>
            <w:r/>
          </w:p>
        </w:tc>
        <w:tc>
          <w:tcPr>
            <w:shd w:val="clear" w:color="auto" w:fill="auto"/>
            <w:tcW w:w="3494"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工业</w:t>
            </w:r>
            <w:r/>
          </w:p>
        </w:tc>
      </w:tr>
      <w:tr>
        <w:trPr>
          <w:jc w:val="center"/>
          <w:tblCellSpacing w:w="0" w:type="dxa"/>
          <w:trHeight w:val="296"/>
        </w:trPr>
        <w:tc>
          <w:tcPr>
            <w:shd w:val="clear" w:color="auto" w:fill="auto"/>
            <w:tcW w:w="866" w:type="dxa"/>
            <w:vAlign w:val="center"/>
            <w:textDirection w:val="lrTb"/>
            <w:noWrap w:val="false"/>
          </w:tcPr>
          <w:p>
            <w:pPr>
              <w:jc w:val="center"/>
              <w:widowControl/>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 xml:space="preserve">18</w:t>
            </w:r>
            <w:r/>
          </w:p>
        </w:tc>
        <w:tc>
          <w:tcPr>
            <w:shd w:val="clear" w:color="auto" w:fill="auto"/>
            <w:tcW w:w="443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教室文化环境布置</w:t>
            </w:r>
            <w:r/>
          </w:p>
        </w:tc>
        <w:tc>
          <w:tcPr>
            <w:shd w:val="clear" w:color="auto" w:fill="auto"/>
            <w:tcW w:w="3494"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工业</w:t>
            </w:r>
            <w:r/>
          </w:p>
        </w:tc>
      </w:tr>
      <w:tr>
        <w:trPr>
          <w:jc w:val="center"/>
          <w:tblCellSpacing w:w="0" w:type="dxa"/>
          <w:trHeight w:val="296"/>
        </w:trPr>
        <w:tc>
          <w:tcPr>
            <w:shd w:val="clear" w:color="auto" w:fill="auto"/>
            <w:tcW w:w="866" w:type="dxa"/>
            <w:vAlign w:val="center"/>
            <w:textDirection w:val="lrTb"/>
            <w:noWrap w:val="false"/>
          </w:tcPr>
          <w:p>
            <w:pPr>
              <w:jc w:val="center"/>
              <w:widowControl/>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 xml:space="preserve">19</w:t>
            </w:r>
            <w:r/>
          </w:p>
        </w:tc>
        <w:tc>
          <w:tcPr>
            <w:shd w:val="clear" w:color="auto" w:fill="auto"/>
            <w:tcW w:w="443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铝方通造型</w:t>
            </w:r>
            <w:r/>
          </w:p>
        </w:tc>
        <w:tc>
          <w:tcPr>
            <w:shd w:val="clear" w:color="auto" w:fill="auto"/>
            <w:tcW w:w="3494" w:type="dxa"/>
            <w:vAlign w:val="center"/>
            <w:textDirection w:val="lrTb"/>
            <w:noWrap w:val="false"/>
          </w:tcPr>
          <w:p>
            <w:pPr>
              <w:jc w:val="center"/>
              <w:widowControl/>
              <w:rPr>
                <w:rFonts w:hint="default"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工业</w:t>
            </w:r>
            <w:r/>
          </w:p>
        </w:tc>
      </w:tr>
      <w:tr>
        <w:trPr>
          <w:jc w:val="center"/>
          <w:tblCellSpacing w:w="0" w:type="dxa"/>
          <w:trHeight w:val="309"/>
        </w:trPr>
        <w:tc>
          <w:tcPr>
            <w:shd w:val="clear" w:color="auto" w:fill="auto"/>
            <w:tcW w:w="866" w:type="dxa"/>
            <w:vAlign w:val="center"/>
            <w:textDirection w:val="lrTb"/>
            <w:noWrap w:val="false"/>
          </w:tcPr>
          <w:p>
            <w:pPr>
              <w:jc w:val="center"/>
              <w:widowControl/>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 xml:space="preserve">20</w:t>
            </w:r>
            <w:r/>
          </w:p>
        </w:tc>
        <w:tc>
          <w:tcPr>
            <w:shd w:val="clear" w:color="auto" w:fill="auto"/>
            <w:tcW w:w="443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室内地板</w:t>
            </w:r>
            <w:r/>
          </w:p>
        </w:tc>
        <w:tc>
          <w:tcPr>
            <w:shd w:val="clear" w:color="auto" w:fill="auto"/>
            <w:tcW w:w="3494"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工业</w:t>
            </w:r>
            <w:r/>
          </w:p>
        </w:tc>
      </w:tr>
    </w:tbl>
    <w:p>
      <w:pPr>
        <w:jc w:val="left"/>
        <w:widowControl/>
        <w:rPr>
          <w:rFonts w:hint="eastAsia" w:ascii="黑体" w:hAnsi="宋体" w:eastAsia="黑体" w:cs="黑体"/>
          <w:color w:val="auto"/>
          <w:sz w:val="44"/>
          <w:szCs w:val="44"/>
          <w:highlight w:val="none"/>
        </w:rPr>
      </w:pPr>
      <w:r/>
      <w:bookmarkStart w:id="174" w:name="_Toc120614281"/>
      <w:r>
        <w:rPr>
          <w:rFonts w:hint="eastAsia" w:ascii="宋体" w:hAnsi="宋体" w:eastAsia="宋体" w:cs="宋体"/>
          <w:i w:val="0"/>
          <w:iCs w:val="0"/>
          <w:color w:val="auto"/>
          <w:sz w:val="18"/>
          <w:szCs w:val="18"/>
          <w:highlight w:val="none"/>
          <w:u w:val="none"/>
          <w:lang w:val="en-US" w:eastAsia="zh-CN"/>
        </w:rPr>
        <w:br w:type="page" w:clear="all"/>
      </w:r>
      <w:r/>
    </w:p>
    <w:p>
      <w:pPr>
        <w:jc w:val="center"/>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738"/>
        <w:jc w:val="both"/>
        <w:spacing w:beforeAutospacing="0" w:afterAutospacing="0"/>
        <w:rPr>
          <w:color w:val="auto"/>
          <w:highlight w:val="none"/>
        </w:rPr>
      </w:pPr>
      <w:r>
        <w:rPr>
          <w:color w:val="auto"/>
          <w:highlight w:val="none"/>
        </w:rPr>
        <w:t xml:space="preserve"> </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738"/>
        <w:ind w:left="0" w:firstLine="482"/>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cs="宋体"/>
          <w:b/>
          <w:bCs w:val="0"/>
          <w:color w:val="auto"/>
          <w:highlight w:val="none"/>
        </w:rPr>
        <w:t xml:space="preserve">本项目专门面向中小企业采购，不再对小微企业服务给予价格扣除</w:t>
      </w:r>
      <w:r>
        <w:rPr>
          <w:rFonts w:hint="eastAsia" w:ascii="宋体" w:hAnsi="宋体" w:cs="宋体"/>
          <w:b/>
          <w:bCs w:val="0"/>
          <w:color w:val="auto"/>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738"/>
        <w:ind w:left="0" w:firstLine="482"/>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评标方法与评标标准</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本次招标采用使用综合评分法，综合评分法，是指各标段投标文件满足招标文件全部实质性要求，且按照评审因素的量化指标评审得分最高的投标人为该标段中标候选人的评标方法。</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具体评审细则如下：</w:t>
      </w:r>
      <w:r/>
    </w:p>
    <w:tbl>
      <w:tblPr>
        <w:tblStyle w:val="715"/>
        <w:tblW w:w="9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5"/>
        <w:gridCol w:w="1118"/>
        <w:gridCol w:w="1352"/>
        <w:gridCol w:w="818"/>
        <w:gridCol w:w="5697"/>
      </w:tblGrid>
      <w:tr>
        <w:trPr>
          <w:jc w:val="center"/>
          <w:trHeight w:val="543"/>
          <w:tblHeader/>
        </w:trPr>
        <w:tc>
          <w:tcPr>
            <w:tcBorders>
              <w:top w:val="single" w:color="auto" w:sz="4" w:space="0"/>
              <w:left w:val="single" w:color="auto" w:sz="4" w:space="0"/>
              <w:bottom w:val="single" w:color="auto" w:sz="4" w:space="0"/>
              <w:right w:val="single" w:color="auto" w:sz="4" w:space="0"/>
            </w:tcBorders>
            <w:tcW w:w="575" w:type="dxa"/>
            <w:vAlign w:val="center"/>
            <w:textDirection w:val="lrTb"/>
            <w:noWrap w:val="false"/>
          </w:tcPr>
          <w:p>
            <w:pPr>
              <w:jc w:val="center"/>
              <w:keepLines w:val="0"/>
              <w:keepNext w:val="0"/>
              <w:pageBreakBefore w:val="0"/>
              <w:spacing w:line="24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序</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keepLines w:val="0"/>
              <w:keepNext w:val="0"/>
              <w:pageBreakBefore w:val="0"/>
              <w:spacing w:line="24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分部内容</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center"/>
              <w:keepLines w:val="0"/>
              <w:keepNext w:val="0"/>
              <w:pageBreakBefore w:val="0"/>
              <w:spacing w:line="24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分项内容</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keepLines w:val="0"/>
              <w:keepNext w:val="0"/>
              <w:pageBreakBefore w:val="0"/>
              <w:spacing w:line="24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5697" w:type="dxa"/>
            <w:vAlign w:val="center"/>
            <w:textDirection w:val="lrTb"/>
            <w:noWrap w:val="false"/>
          </w:tcPr>
          <w:p>
            <w:pPr>
              <w:pStyle w:val="717"/>
              <w:jc w:val="center"/>
              <w:keepLines w:val="0"/>
              <w:keepNext w:val="0"/>
              <w:pageBreakBefore w:val="0"/>
              <w:spacing w:line="24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打分要求</w:t>
            </w:r>
            <w:r/>
          </w:p>
        </w:tc>
      </w:tr>
      <w:tr>
        <w:trPr>
          <w:jc w:val="center"/>
          <w:trHeight w:val="854"/>
        </w:trPr>
        <w:tc>
          <w:tcPr>
            <w:tcBorders>
              <w:top w:val="single" w:color="auto" w:sz="4" w:space="0"/>
              <w:left w:val="single" w:color="auto" w:sz="4" w:space="0"/>
              <w:right w:val="single" w:color="auto" w:sz="4" w:space="0"/>
            </w:tcBorders>
            <w:tcW w:w="575" w:type="dxa"/>
            <w:vAlign w:val="center"/>
            <w:textDirection w:val="lrTb"/>
            <w:noWrap w:val="false"/>
          </w:tcPr>
          <w:p>
            <w:pPr>
              <w:jc w:val="center"/>
              <w:keepLines w:val="0"/>
              <w:keepNext w:val="0"/>
              <w:pageBreakBefore w:val="0"/>
              <w:spacing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一</w:t>
            </w:r>
            <w:r/>
          </w:p>
        </w:tc>
        <w:tc>
          <w:tcPr>
            <w:tcBorders>
              <w:top w:val="single" w:color="auto" w:sz="4" w:space="0"/>
              <w:left w:val="single" w:color="auto" w:sz="4" w:space="0"/>
              <w:right w:val="single" w:color="auto" w:sz="4" w:space="0"/>
            </w:tcBorders>
            <w:tcW w:w="1118" w:type="dxa"/>
            <w:vAlign w:val="center"/>
            <w:textDirection w:val="lrTb"/>
            <w:noWrap w:val="false"/>
          </w:tcPr>
          <w:p>
            <w:pPr>
              <w:jc w:val="center"/>
              <w:keepLines w:val="0"/>
              <w:keepNext w:val="0"/>
              <w:pageBreakBefore w:val="0"/>
              <w:spacing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价格部分</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center"/>
              <w:keepLines w:val="0"/>
              <w:keepNext w:val="0"/>
              <w:pageBreakBefore w:val="0"/>
              <w:spacing w:line="240" w:lineRule="exac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 xml:space="preserve">投标报价</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keepLines w:val="0"/>
              <w:keepNext w:val="0"/>
              <w:pageBreakBefore w:val="0"/>
              <w:spacing w:line="240" w:lineRule="exac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 xml:space="preserve">30</w:t>
            </w:r>
            <w:r/>
          </w:p>
        </w:tc>
        <w:tc>
          <w:tcPr>
            <w:tcBorders>
              <w:top w:val="single" w:color="auto" w:sz="4" w:space="0"/>
              <w:left w:val="single" w:color="auto" w:sz="4" w:space="0"/>
              <w:bottom w:val="single" w:color="auto" w:sz="4" w:space="0"/>
              <w:right w:val="single" w:color="auto" w:sz="4" w:space="0"/>
            </w:tcBorders>
            <w:tcW w:w="5697" w:type="dxa"/>
            <w:vAlign w:val="center"/>
            <w:textDirection w:val="lrTb"/>
            <w:noWrap w:val="false"/>
          </w:tcPr>
          <w:p>
            <w:pPr>
              <w:pStyle w:val="717"/>
              <w:keepLines w:val="0"/>
              <w:keepNext w:val="0"/>
              <w:pageBreakBefore w:val="0"/>
              <w:spacing w:line="240" w:lineRule="exact"/>
              <w:rPr>
                <w:rFonts w:hint="eastAsia" w:ascii="仿宋" w:hAnsi="仿宋" w:eastAsia="仿宋" w:cs="仿宋"/>
                <w:color w:val="auto"/>
                <w:sz w:val="21"/>
                <w:szCs w:val="21"/>
                <w:highlight w:val="none"/>
              </w:rPr>
            </w:pPr>
            <w:r/>
            <w:bookmarkStart w:id="175" w:name="OLE_LINK20"/>
            <w:r>
              <w:rPr>
                <w:rFonts w:hint="eastAsia" w:ascii="仿宋" w:hAnsi="仿宋" w:eastAsia="仿宋" w:cs="仿宋"/>
                <w:color w:val="auto"/>
                <w:sz w:val="21"/>
                <w:szCs w:val="21"/>
                <w:highlight w:val="none"/>
              </w:rPr>
              <w:t xml:space="preserve">满足招标文件要求且投标价格最低的投标报价为基准价，其价格分为满分。报价得分=(评标基准价/投标报价)×</w:t>
            </w:r>
            <w:r>
              <w:rPr>
                <w:rFonts w:hint="eastAsia" w:ascii="仿宋" w:hAnsi="仿宋" w:eastAsia="仿宋" w:cs="仿宋"/>
                <w:color w:val="auto"/>
                <w:sz w:val="21"/>
                <w:szCs w:val="21"/>
                <w:highlight w:val="none"/>
                <w:lang w:val="en-US" w:eastAsia="zh-CN"/>
              </w:rPr>
              <w:t xml:space="preserve">30</w:t>
            </w:r>
            <w:r>
              <w:rPr>
                <w:rFonts w:hint="eastAsia" w:ascii="仿宋" w:hAnsi="仿宋" w:eastAsia="仿宋" w:cs="仿宋"/>
                <w:color w:val="auto"/>
                <w:sz w:val="21"/>
                <w:szCs w:val="21"/>
                <w:highlight w:val="none"/>
              </w:rPr>
              <w:t xml:space="preserve">。</w:t>
            </w:r>
            <w:bookmarkEnd w:id="175"/>
            <w:r/>
            <w:r/>
          </w:p>
        </w:tc>
      </w:tr>
      <w:tr>
        <w:trPr>
          <w:jc w:val="center"/>
          <w:trHeight w:val="90"/>
        </w:trPr>
        <w:tc>
          <w:tcPr>
            <w:tcBorders>
              <w:top w:val="single" w:color="auto" w:sz="4" w:space="0"/>
              <w:left w:val="single" w:color="auto" w:sz="4" w:space="0"/>
              <w:right w:val="single" w:color="auto" w:sz="4" w:space="0"/>
            </w:tcBorders>
            <w:tcW w:w="575" w:type="dxa"/>
            <w:vAlign w:val="center"/>
            <w:vMerge w:val="restart"/>
            <w:textDirection w:val="lrTb"/>
            <w:noWrap w:val="false"/>
          </w:tcPr>
          <w:p>
            <w:pPr>
              <w:jc w:val="center"/>
              <w:keepLines w:val="0"/>
              <w:keepNext w:val="0"/>
              <w:pageBreakBefore w:val="0"/>
              <w:spacing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二</w:t>
            </w:r>
            <w:r/>
          </w:p>
        </w:tc>
        <w:tc>
          <w:tcPr>
            <w:tcBorders>
              <w:top w:val="single" w:color="auto" w:sz="4" w:space="0"/>
              <w:left w:val="single" w:color="auto" w:sz="4" w:space="0"/>
              <w:right w:val="single" w:color="auto" w:sz="4" w:space="0"/>
            </w:tcBorders>
            <w:tcW w:w="1118" w:type="dxa"/>
            <w:vAlign w:val="center"/>
            <w:vMerge w:val="restart"/>
            <w:textDirection w:val="lrTb"/>
            <w:noWrap w:val="false"/>
          </w:tcPr>
          <w:p>
            <w:pPr>
              <w:jc w:val="center"/>
              <w:keepLines w:val="0"/>
              <w:keepNext w:val="0"/>
              <w:pageBreakBefore w:val="0"/>
              <w:spacing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技术部分</w:t>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keepLines w:val="0"/>
              <w:keepNext w:val="0"/>
              <w:pageBreakBefore w:val="0"/>
              <w:spacing w:line="240" w:lineRule="exact"/>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技术参数响应情况</w:t>
            </w:r>
            <w:r/>
          </w:p>
        </w:tc>
        <w:tc>
          <w:tcPr>
            <w:tcBorders>
              <w:top w:val="single" w:color="auto" w:sz="4" w:space="0"/>
              <w:left w:val="single" w:color="auto" w:sz="4" w:space="0"/>
              <w:right w:val="single" w:color="auto" w:sz="4" w:space="0"/>
            </w:tcBorders>
            <w:tcW w:w="818" w:type="dxa"/>
            <w:vAlign w:val="center"/>
            <w:textDirection w:val="lrTb"/>
            <w:noWrap w:val="false"/>
          </w:tcPr>
          <w:p>
            <w:pPr>
              <w:jc w:val="center"/>
              <w:keepLines w:val="0"/>
              <w:keepNext w:val="0"/>
              <w:pageBreakBefore w:val="0"/>
              <w:spacing w:line="240" w:lineRule="exact"/>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22</w:t>
            </w:r>
            <w:r/>
          </w:p>
        </w:tc>
        <w:tc>
          <w:tcPr>
            <w:tcBorders>
              <w:top w:val="single" w:color="auto" w:sz="4" w:space="0"/>
              <w:left w:val="single" w:color="auto" w:sz="4" w:space="0"/>
              <w:right w:val="single" w:color="auto" w:sz="4" w:space="0"/>
            </w:tcBorders>
            <w:tcW w:w="5697" w:type="dxa"/>
            <w:vAlign w:val="center"/>
            <w:textDirection w:val="lrTb"/>
            <w:noWrap w:val="false"/>
          </w:tcPr>
          <w:p>
            <w:pPr>
              <w:ind w:firstLine="420"/>
              <w:jc w:val="left"/>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对照招标文件中的要求进行评审（基础分22分），完全满足招标文件要求的不扣分；其中：标“★”指标为重点响应项，每发现一处负偏离扣1分，扣完为止。</w:t>
            </w:r>
            <w:r/>
          </w:p>
          <w:p>
            <w:pPr>
              <w:ind w:firstLine="420"/>
              <w:jc w:val="left"/>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其他为响应项，每发现一处负偏离扣0.5分，扣完为止。</w:t>
            </w:r>
            <w:r/>
          </w:p>
        </w:tc>
      </w:tr>
      <w:tr>
        <w:trPr>
          <w:jc w:val="center"/>
          <w:trHeight w:val="90"/>
        </w:trPr>
        <w:tc>
          <w:tcPr>
            <w:tcBorders>
              <w:left w:val="single" w:color="auto" w:sz="4" w:space="0"/>
              <w:right w:val="single" w:color="auto" w:sz="4" w:space="0"/>
            </w:tcBorders>
            <w:tcW w:w="575" w:type="dxa"/>
            <w:vAlign w:val="center"/>
            <w:vMerge w:val="continue"/>
            <w:textDirection w:val="lrTb"/>
            <w:noWrap w:val="false"/>
          </w:tcPr>
          <w:p>
            <w:pPr>
              <w:jc w:val="center"/>
              <w:keepLines w:val="0"/>
              <w:keepNext w:val="0"/>
              <w:pageBreakBefore w:val="0"/>
              <w:spacing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single" w:color="auto" w:sz="4" w:space="0"/>
              <w:right w:val="single" w:color="auto" w:sz="4" w:space="0"/>
            </w:tcBorders>
            <w:tcW w:w="1118" w:type="dxa"/>
            <w:vAlign w:val="center"/>
            <w:vMerge w:val="continue"/>
            <w:textDirection w:val="lrTb"/>
            <w:noWrap w:val="false"/>
          </w:tcPr>
          <w:p>
            <w:pPr>
              <w:jc w:val="center"/>
              <w:keepLines w:val="0"/>
              <w:keepNext w:val="0"/>
              <w:pageBreakBefore w:val="0"/>
              <w:spacing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作品数量</w:t>
            </w:r>
            <w:r/>
          </w:p>
        </w:tc>
        <w:tc>
          <w:tcPr>
            <w:tcBorders>
              <w:left w:val="single" w:color="auto" w:sz="4" w:space="0"/>
              <w:right w:val="single" w:color="auto" w:sz="4" w:space="0"/>
            </w:tcBorders>
            <w:tcW w:w="818"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rPr>
            </w:pPr>
            <w:r/>
            <w:bookmarkStart w:id="199" w:name="_GoBack"/>
            <w:r/>
            <w:bookmarkEnd w:id="199"/>
            <w:r>
              <w:rPr>
                <w:rFonts w:hint="eastAsia" w:ascii="仿宋" w:hAnsi="仿宋" w:eastAsia="仿宋" w:cs="仿宋"/>
                <w:b w:val="0"/>
                <w:bCs w:val="0"/>
                <w:color w:val="auto"/>
                <w:sz w:val="21"/>
                <w:szCs w:val="21"/>
                <w:highlight w:val="none"/>
                <w:lang w:val="en-US" w:eastAsia="zh-CN"/>
              </w:rPr>
              <w:t xml:space="preserve">25</w:t>
            </w:r>
            <w:r/>
          </w:p>
        </w:tc>
        <w:tc>
          <w:tcPr>
            <w:tcBorders>
              <w:left w:val="single" w:color="auto" w:sz="4" w:space="0"/>
              <w:right w:val="single" w:color="auto" w:sz="4" w:space="0"/>
            </w:tcBorders>
            <w:tcW w:w="5697" w:type="dxa"/>
            <w:vAlign w:val="center"/>
            <w:textDirection w:val="lrTb"/>
            <w:noWrap w:val="false"/>
          </w:tcPr>
          <w:p>
            <w:pPr>
              <w:ind w:firstLine="420"/>
              <w:jc w:val="left"/>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潜在供应商需按带“◆”处的要求提供资源清单表格资料，上传至“苏采云”系统。</w:t>
            </w:r>
            <w:r/>
          </w:p>
          <w:p>
            <w:pPr>
              <w:ind w:firstLine="420"/>
              <w:jc w:val="left"/>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1、融合学科全交互VR教学资源，每个VR资源以0.1分计，最多计10分；</w:t>
            </w:r>
            <w:r/>
          </w:p>
          <w:p>
            <w:pPr>
              <w:ind w:firstLine="420"/>
              <w:jc w:val="left"/>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2、小学科学全交互VR教学资源，每个VR资源以0.1分计，最多计15分。</w:t>
            </w:r>
            <w:r/>
          </w:p>
        </w:tc>
      </w:tr>
      <w:tr>
        <w:trPr>
          <w:jc w:val="center"/>
          <w:trHeight w:val="1549"/>
        </w:trPr>
        <w:tc>
          <w:tcPr>
            <w:tcBorders>
              <w:left w:val="single" w:color="auto" w:sz="4" w:space="0"/>
              <w:right w:val="single" w:color="auto" w:sz="4" w:space="0"/>
            </w:tcBorders>
            <w:tcW w:w="575" w:type="dxa"/>
            <w:vAlign w:val="center"/>
            <w:vMerge w:val="continue"/>
            <w:textDirection w:val="lrTb"/>
            <w:noWrap w:val="false"/>
          </w:tcPr>
          <w:p>
            <w:pPr>
              <w:jc w:val="center"/>
              <w:keepLines w:val="0"/>
              <w:keepNext w:val="0"/>
              <w:pageBreakBefore w:val="0"/>
              <w:spacing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single" w:color="auto" w:sz="4" w:space="0"/>
              <w:right w:val="single" w:color="auto" w:sz="4" w:space="0"/>
            </w:tcBorders>
            <w:tcW w:w="1118" w:type="dxa"/>
            <w:vAlign w:val="center"/>
            <w:vMerge w:val="continue"/>
            <w:textDirection w:val="lrTb"/>
            <w:noWrap w:val="false"/>
          </w:tcPr>
          <w:p>
            <w:pPr>
              <w:jc w:val="center"/>
              <w:keepLines w:val="0"/>
              <w:keepNext w:val="0"/>
              <w:pageBreakBefore w:val="0"/>
              <w:spacing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shd w:val="clear" w:color="auto" w:fill="auto"/>
            <w:tcBorders>
              <w:top w:val="single" w:color="auto" w:sz="4" w:space="0"/>
              <w:left w:val="single" w:color="auto" w:sz="4" w:space="0"/>
              <w:right w:val="single" w:color="auto" w:sz="4" w:space="0"/>
            </w:tcBorders>
            <w:tcW w:w="1352"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 xml:space="preserve">功能演示</w:t>
            </w:r>
            <w:r/>
          </w:p>
        </w:tc>
        <w:tc>
          <w:tcPr>
            <w:shd w:val="clear" w:color="auto" w:fill="auto"/>
            <w:tcBorders>
              <w:top w:val="single" w:color="auto" w:sz="4" w:space="0"/>
              <w:left w:val="single" w:color="auto" w:sz="4" w:space="0"/>
              <w:right w:val="single" w:color="auto" w:sz="4" w:space="0"/>
            </w:tcBorders>
            <w:tcW w:w="818"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 xml:space="preserve">10</w:t>
            </w:r>
            <w:r/>
          </w:p>
        </w:tc>
        <w:tc>
          <w:tcPr>
            <w:shd w:val="clear" w:color="auto" w:fill="auto"/>
            <w:tcBorders>
              <w:top w:val="single" w:color="auto" w:sz="4" w:space="0"/>
              <w:left w:val="single" w:color="auto" w:sz="4" w:space="0"/>
              <w:right w:val="single" w:color="auto" w:sz="4" w:space="0"/>
            </w:tcBorders>
            <w:tcW w:w="5697" w:type="dxa"/>
            <w:vAlign w:val="center"/>
            <w:textDirection w:val="lrTb"/>
            <w:noWrap w:val="false"/>
          </w:tcPr>
          <w:p>
            <w:pPr>
              <w:ind w:firstLine="420"/>
              <w:jc w:val="left"/>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1、提供《空气有质量吗》一课的实验的操作录屏。实验须具备以下功能：（5分）</w:t>
            </w:r>
            <w:r/>
          </w:p>
          <w:p>
            <w:pPr>
              <w:ind w:firstLine="420"/>
              <w:jc w:val="left"/>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（1）展示空气相关知识点，包含组成部分和比例；（1分）</w:t>
            </w:r>
            <w:r/>
          </w:p>
          <w:p>
            <w:pPr>
              <w:ind w:firstLine="420"/>
              <w:jc w:val="left"/>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（2）支持进行实验操作，有对应的实验步骤提示；（1分）</w:t>
            </w:r>
            <w:r/>
          </w:p>
          <w:p>
            <w:pPr>
              <w:ind w:firstLine="420"/>
              <w:jc w:val="left"/>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（3）根据实验步骤完成实验，系统自动总结实验结果；（1分）</w:t>
            </w:r>
            <w:r/>
          </w:p>
          <w:p>
            <w:pPr>
              <w:ind w:firstLine="420"/>
              <w:jc w:val="left"/>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（4）可点击切换初始视角，切换至首次进入实验的视角；（1分）</w:t>
            </w:r>
            <w:r/>
          </w:p>
          <w:p>
            <w:pPr>
              <w:ind w:firstLine="420"/>
              <w:jc w:val="left"/>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（5）可点击重置场景，场景重置成首次进入实验室的场景。（1分）</w:t>
            </w:r>
            <w:r/>
          </w:p>
          <w:p>
            <w:pPr>
              <w:ind w:firstLine="420"/>
              <w:jc w:val="left"/>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2、提供一段国防安全知识类VR资源的模型操作录屏，如火箭发射原理展示，须具备以下功能：（5分）</w:t>
            </w:r>
            <w:r/>
          </w:p>
          <w:p>
            <w:pPr>
              <w:ind w:firstLine="420"/>
              <w:jc w:val="left"/>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（1）模拟模型的整体构造，展示模型全貌，点击模型部位，伴随语音和文字的介绍；（1分）</w:t>
            </w:r>
            <w:r/>
          </w:p>
          <w:p>
            <w:pPr>
              <w:ind w:firstLine="420"/>
              <w:jc w:val="left"/>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（2）展示模型的拆解操作步骤，伴随语音和文字的介绍，模拟模型组装过程，有提示功能；（1分）；</w:t>
            </w:r>
            <w:r/>
          </w:p>
          <w:p>
            <w:pPr>
              <w:ind w:firstLine="420"/>
              <w:jc w:val="left"/>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（3）模拟模型运行过程，操作正确和错误有对应提示，操作者可切换模型视角，有现场感；（1分）；</w:t>
            </w:r>
            <w:r/>
          </w:p>
          <w:p>
            <w:pPr>
              <w:ind w:firstLine="420"/>
              <w:jc w:val="left"/>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（4）可切换初始视角，切换至首次进入实验的视角（1分）；</w:t>
            </w:r>
            <w:r/>
          </w:p>
          <w:p>
            <w:pPr>
              <w:ind w:firstLine="420"/>
              <w:jc w:val="left"/>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 xml:space="preserve">（5）可点击重置场景，场景重置成首次进入实验室的场景（1分）。</w:t>
            </w:r>
            <w:r/>
          </w:p>
        </w:tc>
      </w:tr>
      <w:tr>
        <w:trPr>
          <w:jc w:val="center"/>
          <w:trHeight w:val="1549"/>
        </w:trPr>
        <w:tc>
          <w:tcPr>
            <w:tcBorders>
              <w:left w:val="single" w:color="auto" w:sz="4" w:space="0"/>
              <w:right w:val="single" w:color="auto" w:sz="4" w:space="0"/>
            </w:tcBorders>
            <w:tcW w:w="575" w:type="dxa"/>
            <w:vAlign w:val="center"/>
            <w:vMerge w:val="continue"/>
            <w:textDirection w:val="lrTb"/>
            <w:noWrap w:val="false"/>
          </w:tcPr>
          <w:p>
            <w:pPr>
              <w:jc w:val="center"/>
              <w:keepLines w:val="0"/>
              <w:keepNext w:val="0"/>
              <w:pageBreakBefore w:val="0"/>
              <w:spacing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single" w:color="auto" w:sz="4" w:space="0"/>
              <w:right w:val="single" w:color="auto" w:sz="4" w:space="0"/>
            </w:tcBorders>
            <w:tcW w:w="1118" w:type="dxa"/>
            <w:vAlign w:val="center"/>
            <w:vMerge w:val="continue"/>
            <w:textDirection w:val="lrTb"/>
            <w:noWrap w:val="false"/>
          </w:tcPr>
          <w:p>
            <w:pPr>
              <w:jc w:val="center"/>
              <w:keepLines w:val="0"/>
              <w:keepNext w:val="0"/>
              <w:pageBreakBefore w:val="0"/>
              <w:spacing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shd w:val="clear" w:color="auto" w:fill="auto"/>
            <w:tcBorders>
              <w:top w:val="single" w:color="auto" w:sz="4" w:space="0"/>
              <w:left w:val="single" w:color="auto" w:sz="4" w:space="0"/>
              <w:right w:val="single" w:color="auto" w:sz="4" w:space="0"/>
            </w:tcBorders>
            <w:tcW w:w="1352"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rPr>
              <w:t xml:space="preserve">专项设计方案</w:t>
            </w:r>
            <w:r/>
          </w:p>
        </w:tc>
        <w:tc>
          <w:tcPr>
            <w:shd w:val="clear" w:color="auto" w:fill="auto"/>
            <w:tcBorders>
              <w:top w:val="single" w:color="auto" w:sz="4" w:space="0"/>
              <w:left w:val="single" w:color="auto" w:sz="4" w:space="0"/>
              <w:right w:val="single" w:color="auto" w:sz="4" w:space="0"/>
            </w:tcBorders>
            <w:tcW w:w="818" w:type="dxa"/>
            <w:vAlign w:val="center"/>
            <w:textDirection w:val="lrTb"/>
            <w:noWrap w:val="false"/>
          </w:tcPr>
          <w:p>
            <w:pPr>
              <w:jc w:val="center"/>
              <w:keepLines w:val="0"/>
              <w:keepNext w:val="0"/>
              <w:pageBreakBefore w:val="0"/>
              <w:spacing w:line="240" w:lineRule="exact"/>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 xml:space="preserve">3</w:t>
            </w:r>
            <w:r/>
          </w:p>
        </w:tc>
        <w:tc>
          <w:tcPr>
            <w:shd w:val="clear" w:color="auto" w:fill="auto"/>
            <w:tcBorders>
              <w:top w:val="single" w:color="auto" w:sz="4" w:space="0"/>
              <w:left w:val="single" w:color="auto" w:sz="4" w:space="0"/>
              <w:right w:val="single" w:color="auto" w:sz="4" w:space="0"/>
            </w:tcBorders>
            <w:tcW w:w="5697" w:type="dxa"/>
            <w:vAlign w:val="center"/>
            <w:textDirection w:val="lrTb"/>
            <w:noWrap w:val="false"/>
          </w:tcPr>
          <w:p>
            <w:pPr>
              <w:numPr>
                <w:ilvl w:val="0"/>
                <w:numId w:val="0"/>
              </w:numPr>
              <w:jc w:val="left"/>
              <w:keepLines w:val="0"/>
              <w:keepNext w:val="0"/>
              <w:pageBreakBefore w:val="0"/>
              <w:spacing w:line="24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评委根据投标人提供的深化设计方案(包括采购需求中所有空间)，包括但不限于:(1)各空间平面布置图及说明方案(每个室提供不少于2张图纸):(2)各空间</w:t>
            </w:r>
            <w:r>
              <w:rPr>
                <w:rFonts w:hint="eastAsia" w:ascii="仿宋" w:hAnsi="仿宋" w:eastAsia="仿宋" w:cs="仿宋"/>
                <w:color w:val="auto"/>
                <w:sz w:val="21"/>
                <w:szCs w:val="21"/>
                <w:highlight w:val="none"/>
                <w:lang w:val="en-US" w:eastAsia="zh-CN"/>
              </w:rPr>
              <w:t xml:space="preserve">环境布置平面</w:t>
            </w:r>
            <w:r>
              <w:rPr>
                <w:rFonts w:hint="eastAsia" w:ascii="仿宋" w:hAnsi="仿宋" w:eastAsia="仿宋" w:cs="仿宋"/>
                <w:color w:val="auto"/>
                <w:sz w:val="21"/>
                <w:szCs w:val="21"/>
                <w:highlight w:val="none"/>
              </w:rPr>
              <w:t xml:space="preserve">效果图及</w:t>
            </w:r>
            <w:r>
              <w:rPr>
                <w:rFonts w:hint="eastAsia" w:ascii="仿宋" w:hAnsi="仿宋" w:eastAsia="仿宋" w:cs="仿宋"/>
                <w:color w:val="auto"/>
                <w:sz w:val="21"/>
                <w:szCs w:val="21"/>
                <w:highlight w:val="none"/>
                <w:lang w:val="en-US" w:eastAsia="zh-CN"/>
              </w:rPr>
              <w:t xml:space="preserve">安装</w:t>
            </w:r>
            <w:r>
              <w:rPr>
                <w:rFonts w:hint="eastAsia" w:ascii="仿宋" w:hAnsi="仿宋" w:eastAsia="仿宋" w:cs="仿宋"/>
                <w:color w:val="auto"/>
                <w:sz w:val="21"/>
                <w:szCs w:val="21"/>
                <w:highlight w:val="none"/>
              </w:rPr>
              <w:t xml:space="preserve">说明(每个室提供不少于4张图纸)</w:t>
            </w:r>
            <w:r>
              <w:rPr>
                <w:rFonts w:hint="eastAsia" w:ascii="仿宋" w:hAnsi="仿宋" w:eastAsia="仿宋" w:cs="仿宋"/>
                <w:color w:val="auto"/>
                <w:sz w:val="21"/>
                <w:szCs w:val="21"/>
                <w:highlight w:val="none"/>
                <w:lang w:eastAsia="zh-CN"/>
              </w:rPr>
              <w:t xml:space="preserve">；</w:t>
            </w:r>
            <w:r/>
          </w:p>
          <w:p>
            <w:pPr>
              <w:ind w:firstLine="420"/>
              <w:jc w:val="left"/>
              <w:keepLines w:val="0"/>
              <w:keepNext w:val="0"/>
              <w:pageBreakBefore w:val="0"/>
              <w:spacing w:line="24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zh-CN" w:bidi="ar"/>
              </w:rPr>
              <w:t xml:space="preserve">满足</w:t>
            </w:r>
            <w:r>
              <w:rPr>
                <w:rFonts w:hint="eastAsia" w:ascii="仿宋" w:hAnsi="仿宋" w:eastAsia="仿宋" w:cs="仿宋"/>
                <w:color w:val="auto"/>
                <w:sz w:val="21"/>
                <w:szCs w:val="21"/>
                <w:highlight w:val="none"/>
                <w:lang w:val="en-US" w:eastAsia="zh-CN" w:bidi="ar"/>
              </w:rPr>
              <w:t xml:space="preserve">上述2</w:t>
            </w:r>
            <w:r>
              <w:rPr>
                <w:rFonts w:hint="eastAsia" w:ascii="仿宋" w:hAnsi="仿宋" w:eastAsia="仿宋" w:cs="仿宋"/>
                <w:color w:val="auto"/>
                <w:sz w:val="21"/>
                <w:szCs w:val="21"/>
                <w:highlight w:val="none"/>
                <w:lang w:val="zh-CN" w:bidi="ar"/>
              </w:rPr>
              <w:t xml:space="preserve">项要求最多得</w:t>
            </w:r>
            <w:r>
              <w:rPr>
                <w:rFonts w:hint="eastAsia" w:ascii="仿宋" w:hAnsi="仿宋" w:eastAsia="仿宋" w:cs="仿宋"/>
                <w:color w:val="auto"/>
                <w:sz w:val="21"/>
                <w:szCs w:val="21"/>
                <w:highlight w:val="none"/>
                <w:lang w:val="en-US" w:eastAsia="zh-CN" w:bidi="ar"/>
              </w:rPr>
              <w:t xml:space="preserve">3</w:t>
            </w:r>
            <w:r>
              <w:rPr>
                <w:rFonts w:hint="eastAsia" w:ascii="仿宋" w:hAnsi="仿宋" w:eastAsia="仿宋" w:cs="仿宋"/>
                <w:color w:val="auto"/>
                <w:sz w:val="21"/>
                <w:szCs w:val="21"/>
                <w:highlight w:val="none"/>
                <w:lang w:val="zh-CN" w:bidi="ar"/>
              </w:rPr>
              <w:t xml:space="preserve">分；满足任意</w:t>
            </w:r>
            <w:r>
              <w:rPr>
                <w:rFonts w:hint="eastAsia" w:ascii="仿宋" w:hAnsi="仿宋" w:eastAsia="仿宋" w:cs="仿宋"/>
                <w:color w:val="auto"/>
                <w:sz w:val="21"/>
                <w:szCs w:val="21"/>
                <w:highlight w:val="none"/>
                <w:lang w:val="en-US" w:eastAsia="zh-CN" w:bidi="ar"/>
              </w:rPr>
              <w:t xml:space="preserve">1</w:t>
            </w:r>
            <w:r>
              <w:rPr>
                <w:rFonts w:hint="eastAsia" w:ascii="仿宋" w:hAnsi="仿宋" w:eastAsia="仿宋" w:cs="仿宋"/>
                <w:color w:val="auto"/>
                <w:sz w:val="21"/>
                <w:szCs w:val="21"/>
                <w:highlight w:val="none"/>
                <w:lang w:val="zh-CN" w:bidi="ar"/>
              </w:rPr>
              <w:t xml:space="preserve">项</w:t>
            </w:r>
            <w:r>
              <w:rPr>
                <w:rFonts w:hint="eastAsia" w:ascii="仿宋" w:hAnsi="仿宋" w:eastAsia="仿宋" w:cs="仿宋"/>
                <w:color w:val="auto"/>
                <w:sz w:val="21"/>
                <w:szCs w:val="21"/>
                <w:highlight w:val="none"/>
                <w:lang w:val="en-US" w:eastAsia="zh-CN" w:bidi="ar"/>
              </w:rPr>
              <w:t xml:space="preserve">要求最多</w:t>
            </w:r>
            <w:r>
              <w:rPr>
                <w:rFonts w:hint="eastAsia" w:ascii="仿宋" w:hAnsi="仿宋" w:eastAsia="仿宋" w:cs="仿宋"/>
                <w:color w:val="auto"/>
                <w:sz w:val="21"/>
                <w:szCs w:val="21"/>
                <w:highlight w:val="none"/>
                <w:lang w:val="zh-CN" w:bidi="ar"/>
              </w:rPr>
              <w:t xml:space="preserve">得</w:t>
            </w:r>
            <w:r>
              <w:rPr>
                <w:rFonts w:hint="eastAsia" w:ascii="仿宋" w:hAnsi="仿宋" w:eastAsia="仿宋" w:cs="仿宋"/>
                <w:color w:val="auto"/>
                <w:sz w:val="21"/>
                <w:szCs w:val="21"/>
                <w:highlight w:val="none"/>
                <w:lang w:val="en-US" w:eastAsia="zh-CN" w:bidi="ar"/>
              </w:rPr>
              <w:t xml:space="preserve">1.5</w:t>
            </w:r>
            <w:r>
              <w:rPr>
                <w:rFonts w:hint="eastAsia" w:ascii="仿宋" w:hAnsi="仿宋" w:eastAsia="仿宋" w:cs="仿宋"/>
                <w:color w:val="auto"/>
                <w:sz w:val="21"/>
                <w:szCs w:val="21"/>
                <w:highlight w:val="none"/>
                <w:lang w:val="zh-CN" w:bidi="ar"/>
              </w:rPr>
              <w:t xml:space="preserve">分；其余情况不得分。</w:t>
            </w:r>
            <w:r/>
          </w:p>
          <w:p>
            <w:pPr>
              <w:ind w:firstLine="422"/>
              <w:jc w:val="left"/>
              <w:keepLines w:val="0"/>
              <w:keepNext w:val="0"/>
              <w:pageBreakBefore w:val="0"/>
              <w:spacing w:line="240" w:lineRule="exact"/>
              <w:widowControl/>
              <w:rPr>
                <w:rFonts w:hint="eastAsia" w:ascii="仿宋" w:hAnsi="仿宋" w:eastAsia="仿宋" w:cs="仿宋"/>
                <w:b/>
                <w:bCs/>
                <w:color w:val="auto"/>
                <w:sz w:val="21"/>
                <w:szCs w:val="21"/>
                <w:highlight w:val="none"/>
                <w:lang w:val="zh-CN" w:bidi="ar"/>
              </w:rPr>
            </w:pPr>
            <w:r>
              <w:rPr>
                <w:rFonts w:hint="eastAsia" w:ascii="仿宋" w:hAnsi="仿宋" w:eastAsia="仿宋" w:cs="仿宋"/>
                <w:b/>
                <w:bCs/>
                <w:color w:val="auto"/>
                <w:sz w:val="21"/>
                <w:szCs w:val="21"/>
                <w:highlight w:val="none"/>
                <w:lang w:val="zh-CN" w:bidi="ar"/>
              </w:rPr>
              <w:t xml:space="preserve">注：评审委员会根据各</w:t>
            </w:r>
            <w:r>
              <w:rPr>
                <w:rFonts w:hint="eastAsia" w:ascii="仿宋" w:hAnsi="仿宋" w:eastAsia="仿宋" w:cs="仿宋"/>
                <w:b/>
                <w:bCs/>
                <w:color w:val="auto"/>
                <w:sz w:val="21"/>
                <w:szCs w:val="21"/>
                <w:highlight w:val="none"/>
                <w:lang w:val="en-US" w:eastAsia="zh-CN" w:bidi="ar"/>
              </w:rPr>
              <w:t xml:space="preserve">投标人</w:t>
            </w:r>
            <w:r>
              <w:rPr>
                <w:rFonts w:hint="eastAsia" w:ascii="仿宋" w:hAnsi="仿宋" w:eastAsia="仿宋" w:cs="仿宋"/>
                <w:b/>
                <w:bCs/>
                <w:color w:val="auto"/>
                <w:sz w:val="21"/>
                <w:szCs w:val="21"/>
                <w:highlight w:val="none"/>
                <w:lang w:val="zh-CN" w:bidi="ar"/>
              </w:rPr>
              <w:t xml:space="preserve">的具体响应内容按照以下量化的评审因素指标对各项要求进行</w:t>
            </w:r>
            <w:r>
              <w:rPr>
                <w:rFonts w:hint="eastAsia" w:ascii="仿宋" w:hAnsi="仿宋" w:eastAsia="仿宋" w:cs="仿宋"/>
                <w:b/>
                <w:bCs/>
                <w:color w:val="auto"/>
                <w:sz w:val="21"/>
                <w:szCs w:val="21"/>
                <w:highlight w:val="none"/>
                <w:lang w:val="en-US" w:eastAsia="zh-CN" w:bidi="ar"/>
              </w:rPr>
              <w:t xml:space="preserve">评审</w:t>
            </w:r>
            <w:r>
              <w:rPr>
                <w:rFonts w:hint="eastAsia" w:ascii="仿宋" w:hAnsi="仿宋" w:eastAsia="仿宋" w:cs="仿宋"/>
                <w:b/>
                <w:bCs/>
                <w:color w:val="auto"/>
                <w:sz w:val="21"/>
                <w:szCs w:val="21"/>
                <w:highlight w:val="none"/>
                <w:lang w:val="zh-CN" w:bidi="ar"/>
              </w:rPr>
              <w:t xml:space="preserve">：</w:t>
            </w:r>
            <w:r/>
          </w:p>
          <w:p>
            <w:pPr>
              <w:ind w:firstLine="422"/>
              <w:jc w:val="left"/>
              <w:keepLines w:val="0"/>
              <w:keepNext w:val="0"/>
              <w:pageBreakBefore w:val="0"/>
              <w:spacing w:line="240" w:lineRule="exact"/>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图纸完整，方案合理且规范，完全符合现场实际情况的得</w:t>
            </w:r>
            <w:r>
              <w:rPr>
                <w:rFonts w:hint="eastAsia" w:ascii="仿宋" w:hAnsi="仿宋" w:eastAsia="仿宋" w:cs="仿宋"/>
                <w:color w:val="auto"/>
                <w:sz w:val="21"/>
                <w:szCs w:val="21"/>
                <w:highlight w:val="none"/>
                <w:lang w:val="en-US" w:eastAsia="zh-CN"/>
              </w:rPr>
              <w:t xml:space="preserve">1.5</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eastAsia="zh-CN"/>
              </w:rPr>
              <w:t xml:space="preserve">；</w:t>
            </w:r>
            <w:r/>
          </w:p>
          <w:p>
            <w:pPr>
              <w:ind w:firstLine="422"/>
              <w:jc w:val="left"/>
              <w:keepLines w:val="0"/>
              <w:keepNext w:val="0"/>
              <w:pageBreakBefore w:val="0"/>
              <w:spacing w:line="240" w:lineRule="exact"/>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图纸较完整，方案较合理且规范，较能符合现场实际情况的得</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eastAsia="zh-CN"/>
              </w:rPr>
              <w:t xml:space="preserve">；</w:t>
            </w:r>
            <w:r/>
          </w:p>
          <w:p>
            <w:pPr>
              <w:ind w:firstLine="422"/>
              <w:jc w:val="left"/>
              <w:keepLines w:val="0"/>
              <w:keepNext w:val="0"/>
              <w:pageBreakBefore w:val="0"/>
              <w:spacing w:line="240" w:lineRule="exact"/>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图纸基本完整，方案基本合理目规范、美观，基本符合现场实际情况的得</w:t>
            </w:r>
            <w:r>
              <w:rPr>
                <w:rFonts w:hint="eastAsia" w:ascii="仿宋" w:hAnsi="仿宋" w:eastAsia="仿宋" w:cs="仿宋"/>
                <w:color w:val="auto"/>
                <w:sz w:val="21"/>
                <w:szCs w:val="21"/>
                <w:highlight w:val="none"/>
                <w:lang w:val="en-US" w:eastAsia="zh-CN"/>
              </w:rPr>
              <w:t xml:space="preserve">0.5</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eastAsia="zh-CN"/>
              </w:rPr>
              <w:t xml:space="preserve">；</w:t>
            </w:r>
            <w:r/>
          </w:p>
          <w:p>
            <w:pPr>
              <w:ind w:firstLine="422"/>
              <w:jc w:val="left"/>
              <w:keepLines w:val="0"/>
              <w:keepNext w:val="0"/>
              <w:pageBreakBefore w:val="0"/>
              <w:spacing w:line="24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图纸不完整，方案不合理规范、不美观，设计存在缺陷不能符合现场实际情况或未提供的不得分。</w:t>
            </w:r>
            <w:r/>
          </w:p>
          <w:p>
            <w:pPr>
              <w:ind w:firstLine="420"/>
              <w:jc w:val="left"/>
              <w:keepLines w:val="0"/>
              <w:keepNext w:val="0"/>
              <w:pageBreakBefore w:val="0"/>
              <w:spacing w:line="240" w:lineRule="exact"/>
              <w:widowControl/>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color w:val="auto"/>
                <w:sz w:val="21"/>
                <w:szCs w:val="21"/>
                <w:highlight w:val="none"/>
              </w:rPr>
              <w:t xml:space="preserve">☆注：最终需按照提供的专项设计方案</w:t>
            </w:r>
            <w:r>
              <w:rPr>
                <w:rFonts w:hint="eastAsia" w:ascii="仿宋" w:hAnsi="仿宋" w:eastAsia="仿宋" w:cs="仿宋"/>
                <w:color w:val="auto"/>
                <w:sz w:val="21"/>
                <w:szCs w:val="21"/>
                <w:highlight w:val="none"/>
                <w:lang w:val="en-US" w:eastAsia="zh-CN"/>
              </w:rPr>
              <w:t xml:space="preserve">优化实施</w:t>
            </w:r>
            <w:r>
              <w:rPr>
                <w:rFonts w:hint="eastAsia" w:ascii="仿宋" w:hAnsi="仿宋" w:eastAsia="仿宋" w:cs="仿宋"/>
                <w:color w:val="auto"/>
                <w:sz w:val="21"/>
                <w:szCs w:val="21"/>
                <w:highlight w:val="none"/>
              </w:rPr>
              <w:t xml:space="preserve">。</w:t>
            </w:r>
            <w:r/>
          </w:p>
        </w:tc>
      </w:tr>
      <w:tr>
        <w:trPr>
          <w:jc w:val="center"/>
          <w:trHeight w:val="1549"/>
        </w:trPr>
        <w:tc>
          <w:tcPr>
            <w:tcBorders>
              <w:left w:val="single" w:color="auto" w:sz="4" w:space="0"/>
              <w:right w:val="single" w:color="auto" w:sz="4" w:space="0"/>
            </w:tcBorders>
            <w:tcW w:w="575" w:type="dxa"/>
            <w:vAlign w:val="center"/>
            <w:vMerge w:val="continue"/>
            <w:textDirection w:val="lrTb"/>
            <w:noWrap w:val="false"/>
          </w:tcPr>
          <w:p>
            <w:pPr>
              <w:jc w:val="center"/>
              <w:keepLines w:val="0"/>
              <w:keepNext w:val="0"/>
              <w:pageBreakBefore w:val="0"/>
              <w:spacing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single" w:color="auto" w:sz="4" w:space="0"/>
              <w:right w:val="single" w:color="auto" w:sz="4" w:space="0"/>
            </w:tcBorders>
            <w:tcW w:w="1118" w:type="dxa"/>
            <w:vAlign w:val="center"/>
            <w:vMerge w:val="continue"/>
            <w:textDirection w:val="lrTb"/>
            <w:noWrap w:val="false"/>
          </w:tcPr>
          <w:p>
            <w:pPr>
              <w:jc w:val="center"/>
              <w:keepLines w:val="0"/>
              <w:keepNext w:val="0"/>
              <w:pageBreakBefore w:val="0"/>
              <w:spacing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 xml:space="preserve">售后服务及培训方案</w:t>
            </w:r>
            <w:r/>
          </w:p>
        </w:tc>
        <w:tc>
          <w:tcPr>
            <w:tcBorders>
              <w:top w:val="single" w:color="auto" w:sz="4" w:space="0"/>
              <w:left w:val="single" w:color="auto" w:sz="4" w:space="0"/>
              <w:right w:val="single" w:color="auto" w:sz="4" w:space="0"/>
            </w:tcBorders>
            <w:tcW w:w="818" w:type="dxa"/>
            <w:vAlign w:val="center"/>
            <w:textDirection w:val="lrTb"/>
            <w:noWrap w:val="false"/>
          </w:tcPr>
          <w:p>
            <w:pPr>
              <w:jc w:val="center"/>
              <w:keepLines w:val="0"/>
              <w:keepNext w:val="0"/>
              <w:pageBreakBefore w:val="0"/>
              <w:spacing w:line="240" w:lineRule="exact"/>
              <w:widowControl w:val="off"/>
              <w:rPr>
                <w:rFonts w:hint="eastAsia" w:ascii="仿宋" w:hAnsi="仿宋" w:eastAsia="仿宋" w:cs="仿宋"/>
                <w:b w:val="0"/>
                <w:bCs w:val="0"/>
                <w:color w:val="auto"/>
                <w:sz w:val="21"/>
                <w:szCs w:val="21"/>
                <w:highlight w:val="none"/>
                <w:lang w:val="en-US"/>
              </w:rPr>
            </w:pPr>
            <w:r>
              <w:rPr>
                <w:rFonts w:hint="eastAsia" w:ascii="仿宋" w:hAnsi="仿宋" w:eastAsia="仿宋" w:cs="仿宋"/>
                <w:b w:val="0"/>
                <w:bCs w:val="0"/>
                <w:color w:val="auto"/>
                <w:sz w:val="21"/>
                <w:szCs w:val="21"/>
                <w:highlight w:val="none"/>
                <w:lang w:val="en-US" w:eastAsia="zh-CN"/>
              </w:rPr>
              <w:t xml:space="preserve">5</w:t>
            </w:r>
            <w:r/>
          </w:p>
        </w:tc>
        <w:tc>
          <w:tcPr>
            <w:tcBorders>
              <w:top w:val="single" w:color="auto" w:sz="4" w:space="0"/>
              <w:left w:val="single" w:color="auto" w:sz="4" w:space="0"/>
              <w:right w:val="single" w:color="auto" w:sz="4" w:space="0"/>
            </w:tcBorders>
            <w:tcW w:w="5697" w:type="dxa"/>
            <w:vAlign w:val="center"/>
            <w:textDirection w:val="lrTb"/>
            <w:noWrap w:val="false"/>
          </w:tcPr>
          <w:p>
            <w:pPr>
              <w:ind w:firstLine="420"/>
              <w:jc w:val="left"/>
              <w:keepLines w:val="0"/>
              <w:keepNext w:val="0"/>
              <w:pageBreakBefore w:val="0"/>
              <w:spacing w:line="240" w:lineRule="exact"/>
              <w:widowControl/>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 xml:space="preserve">评审委员会根据</w:t>
            </w:r>
            <w:r>
              <w:rPr>
                <w:rFonts w:hint="eastAsia" w:ascii="仿宋" w:hAnsi="仿宋" w:eastAsia="仿宋" w:cs="仿宋"/>
                <w:color w:val="auto"/>
                <w:sz w:val="21"/>
                <w:szCs w:val="21"/>
                <w:highlight w:val="none"/>
                <w:lang w:val="zh-CN" w:bidi="ar"/>
              </w:rPr>
              <w:t xml:space="preserve">投标人提供的</w:t>
            </w:r>
            <w:r>
              <w:rPr>
                <w:rFonts w:hint="eastAsia" w:ascii="仿宋" w:hAnsi="仿宋" w:eastAsia="仿宋" w:cs="仿宋"/>
                <w:color w:val="auto"/>
                <w:sz w:val="21"/>
                <w:szCs w:val="21"/>
                <w:highlight w:val="none"/>
                <w:lang w:val="en-US" w:eastAsia="zh-CN" w:bidi="ar"/>
              </w:rPr>
              <w:t xml:space="preserve">售后服务方案</w:t>
            </w:r>
            <w:r>
              <w:rPr>
                <w:rFonts w:hint="eastAsia" w:ascii="仿宋" w:hAnsi="仿宋" w:eastAsia="仿宋" w:cs="仿宋"/>
                <w:color w:val="auto"/>
                <w:sz w:val="21"/>
                <w:szCs w:val="21"/>
                <w:highlight w:val="none"/>
                <w:lang w:val="zh-CN" w:bidi="ar"/>
              </w:rPr>
              <w:t xml:space="preserve">包含但不限于</w:t>
            </w:r>
            <w:r>
              <w:rPr>
                <w:rFonts w:hint="eastAsia" w:ascii="仿宋" w:hAnsi="仿宋" w:eastAsia="仿宋" w:cs="仿宋"/>
                <w:b w:val="0"/>
                <w:bCs w:val="0"/>
                <w:color w:val="auto"/>
                <w:sz w:val="21"/>
                <w:szCs w:val="21"/>
                <w:highlight w:val="none"/>
                <w:lang w:val="zh-CN" w:bidi="ar"/>
              </w:rPr>
              <w:t xml:space="preserve">①故障</w:t>
            </w:r>
            <w:r>
              <w:rPr>
                <w:rFonts w:hint="eastAsia" w:ascii="仿宋" w:hAnsi="仿宋" w:eastAsia="仿宋" w:cs="仿宋"/>
                <w:b w:val="0"/>
                <w:bCs w:val="0"/>
                <w:color w:val="auto"/>
                <w:sz w:val="21"/>
                <w:szCs w:val="21"/>
                <w:highlight w:val="none"/>
                <w:lang w:val="zh-CN" w:eastAsia="zh-CN" w:bidi="ar"/>
              </w:rPr>
              <w:t xml:space="preserve">处理保障措施（维修及响应时间）；②备</w:t>
            </w:r>
            <w:r>
              <w:rPr>
                <w:rFonts w:hint="eastAsia" w:ascii="仿宋" w:hAnsi="仿宋" w:eastAsia="仿宋" w:cs="仿宋"/>
                <w:b w:val="0"/>
                <w:bCs w:val="0"/>
                <w:color w:val="auto"/>
                <w:sz w:val="21"/>
                <w:szCs w:val="21"/>
                <w:highlight w:val="none"/>
                <w:lang w:val="en-US" w:eastAsia="zh-CN" w:bidi="ar"/>
              </w:rPr>
              <w:t xml:space="preserve">品</w:t>
            </w:r>
            <w:r>
              <w:rPr>
                <w:rFonts w:hint="eastAsia" w:ascii="仿宋" w:hAnsi="仿宋" w:eastAsia="仿宋" w:cs="仿宋"/>
                <w:b w:val="0"/>
                <w:bCs w:val="0"/>
                <w:color w:val="auto"/>
                <w:sz w:val="21"/>
                <w:szCs w:val="21"/>
                <w:highlight w:val="none"/>
                <w:lang w:val="zh-CN" w:eastAsia="zh-CN" w:bidi="ar"/>
              </w:rPr>
              <w:t xml:space="preserve">备件情况（</w:t>
            </w:r>
            <w:r>
              <w:rPr>
                <w:rFonts w:hint="eastAsia" w:ascii="仿宋" w:hAnsi="仿宋" w:eastAsia="仿宋" w:cs="仿宋"/>
                <w:b w:val="0"/>
                <w:bCs w:val="0"/>
                <w:color w:val="auto"/>
                <w:sz w:val="21"/>
                <w:szCs w:val="21"/>
                <w:highlight w:val="none"/>
                <w:lang w:val="en-US" w:eastAsia="zh-CN" w:bidi="ar"/>
              </w:rPr>
              <w:t xml:space="preserve">易损件的备品备件清单、</w:t>
            </w:r>
            <w:r>
              <w:rPr>
                <w:rFonts w:hint="eastAsia" w:ascii="仿宋" w:hAnsi="仿宋" w:eastAsia="仿宋" w:cs="仿宋"/>
                <w:b w:val="0"/>
                <w:bCs w:val="0"/>
                <w:color w:val="auto"/>
                <w:sz w:val="21"/>
                <w:szCs w:val="21"/>
                <w:highlight w:val="none"/>
                <w:lang w:val="zh-CN" w:eastAsia="zh-CN" w:bidi="ar"/>
              </w:rPr>
              <w:t xml:space="preserve">质保期后的配件及耗材优惠</w:t>
            </w:r>
            <w:r>
              <w:rPr>
                <w:rFonts w:hint="eastAsia" w:ascii="仿宋" w:hAnsi="仿宋" w:eastAsia="仿宋" w:cs="仿宋"/>
                <w:b w:val="0"/>
                <w:bCs w:val="0"/>
                <w:color w:val="auto"/>
                <w:sz w:val="21"/>
                <w:szCs w:val="21"/>
                <w:highlight w:val="none"/>
                <w:lang w:val="en-US" w:eastAsia="zh-CN" w:bidi="ar"/>
              </w:rPr>
              <w:t xml:space="preserve">政策</w:t>
            </w:r>
            <w:r>
              <w:rPr>
                <w:rFonts w:hint="eastAsia" w:ascii="仿宋" w:hAnsi="仿宋" w:eastAsia="仿宋" w:cs="仿宋"/>
                <w:b w:val="0"/>
                <w:bCs w:val="0"/>
                <w:color w:val="auto"/>
                <w:sz w:val="21"/>
                <w:szCs w:val="21"/>
                <w:highlight w:val="none"/>
                <w:lang w:val="zh-CN" w:eastAsia="zh-CN" w:bidi="ar"/>
              </w:rPr>
              <w:t xml:space="preserve">）；③</w:t>
            </w:r>
            <w:r>
              <w:rPr>
                <w:rFonts w:hint="eastAsia" w:ascii="仿宋" w:hAnsi="仿宋" w:eastAsia="仿宋" w:cs="仿宋"/>
                <w:b w:val="0"/>
                <w:bCs w:val="0"/>
                <w:color w:val="auto"/>
                <w:sz w:val="21"/>
                <w:szCs w:val="21"/>
                <w:highlight w:val="none"/>
                <w:lang w:val="en-US" w:eastAsia="zh-CN" w:bidi="ar"/>
              </w:rPr>
              <w:t xml:space="preserve">售后服务人员配置；④售后服务及运维期内、外保障措施等方面进行综合评审；⑤培训师资力量、培训计划及内容。</w:t>
            </w:r>
            <w:r/>
          </w:p>
          <w:p>
            <w:pPr>
              <w:ind w:firstLine="422"/>
              <w:jc w:val="left"/>
              <w:keepLines w:val="0"/>
              <w:keepNext w:val="0"/>
              <w:pageBreakBefore w:val="0"/>
              <w:spacing w:line="240" w:lineRule="exact"/>
              <w:widowControl/>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zh-CN" w:bidi="ar"/>
              </w:rPr>
              <w:t xml:space="preserve">满足以上</w:t>
            </w:r>
            <w:r>
              <w:rPr>
                <w:rFonts w:hint="eastAsia" w:ascii="仿宋" w:hAnsi="仿宋" w:eastAsia="仿宋" w:cs="仿宋"/>
                <w:b w:val="0"/>
                <w:bCs w:val="0"/>
                <w:color w:val="auto"/>
                <w:sz w:val="21"/>
                <w:szCs w:val="21"/>
                <w:highlight w:val="none"/>
                <w:lang w:val="en-US" w:eastAsia="zh-CN" w:bidi="ar"/>
              </w:rPr>
              <w:t xml:space="preserve">5</w:t>
            </w:r>
            <w:r>
              <w:rPr>
                <w:rFonts w:hint="eastAsia" w:ascii="仿宋" w:hAnsi="仿宋" w:eastAsia="仿宋" w:cs="仿宋"/>
                <w:b w:val="0"/>
                <w:bCs w:val="0"/>
                <w:color w:val="auto"/>
                <w:sz w:val="21"/>
                <w:szCs w:val="21"/>
                <w:highlight w:val="none"/>
                <w:lang w:val="zh-CN" w:bidi="ar"/>
              </w:rPr>
              <w:t xml:space="preserve">项要求最多得</w:t>
            </w:r>
            <w:r>
              <w:rPr>
                <w:rFonts w:hint="eastAsia" w:ascii="仿宋" w:hAnsi="仿宋" w:eastAsia="仿宋" w:cs="仿宋"/>
                <w:b w:val="0"/>
                <w:bCs w:val="0"/>
                <w:color w:val="auto"/>
                <w:sz w:val="21"/>
                <w:szCs w:val="21"/>
                <w:highlight w:val="none"/>
                <w:lang w:val="en-US" w:eastAsia="zh-CN" w:bidi="ar"/>
              </w:rPr>
              <w:t xml:space="preserve">5</w:t>
            </w:r>
            <w:r>
              <w:rPr>
                <w:rFonts w:hint="eastAsia" w:ascii="仿宋" w:hAnsi="仿宋" w:eastAsia="仿宋" w:cs="仿宋"/>
                <w:b w:val="0"/>
                <w:bCs w:val="0"/>
                <w:color w:val="auto"/>
                <w:sz w:val="21"/>
                <w:szCs w:val="21"/>
                <w:highlight w:val="none"/>
                <w:lang w:val="zh-CN" w:bidi="ar"/>
              </w:rPr>
              <w:t xml:space="preserve">分；满足任意</w:t>
            </w:r>
            <w:r>
              <w:rPr>
                <w:rFonts w:hint="eastAsia" w:ascii="仿宋" w:hAnsi="仿宋" w:eastAsia="仿宋" w:cs="仿宋"/>
                <w:b w:val="0"/>
                <w:bCs w:val="0"/>
                <w:color w:val="auto"/>
                <w:sz w:val="21"/>
                <w:szCs w:val="21"/>
                <w:highlight w:val="none"/>
                <w:lang w:val="en-US" w:eastAsia="zh-CN" w:bidi="ar"/>
              </w:rPr>
              <w:t xml:space="preserve">1</w:t>
            </w:r>
            <w:r>
              <w:rPr>
                <w:rFonts w:hint="eastAsia" w:ascii="仿宋" w:hAnsi="仿宋" w:eastAsia="仿宋" w:cs="仿宋"/>
                <w:b w:val="0"/>
                <w:bCs w:val="0"/>
                <w:color w:val="auto"/>
                <w:sz w:val="21"/>
                <w:szCs w:val="21"/>
                <w:highlight w:val="none"/>
                <w:lang w:val="zh-CN" w:bidi="ar"/>
              </w:rPr>
              <w:t xml:space="preserve">项</w:t>
            </w:r>
            <w:r>
              <w:rPr>
                <w:rFonts w:hint="eastAsia" w:ascii="仿宋" w:hAnsi="仿宋" w:eastAsia="仿宋" w:cs="仿宋"/>
                <w:b w:val="0"/>
                <w:bCs w:val="0"/>
                <w:color w:val="auto"/>
                <w:sz w:val="21"/>
                <w:szCs w:val="21"/>
                <w:highlight w:val="none"/>
                <w:lang w:val="en-US" w:eastAsia="zh-CN" w:bidi="ar"/>
              </w:rPr>
              <w:t xml:space="preserve">要求最多</w:t>
            </w:r>
            <w:r>
              <w:rPr>
                <w:rFonts w:hint="eastAsia" w:ascii="仿宋" w:hAnsi="仿宋" w:eastAsia="仿宋" w:cs="仿宋"/>
                <w:b w:val="0"/>
                <w:bCs w:val="0"/>
                <w:color w:val="auto"/>
                <w:sz w:val="21"/>
                <w:szCs w:val="21"/>
                <w:highlight w:val="none"/>
                <w:lang w:val="zh-CN" w:bidi="ar"/>
              </w:rPr>
              <w:t xml:space="preserve">得</w:t>
            </w:r>
            <w:r>
              <w:rPr>
                <w:rFonts w:hint="eastAsia" w:ascii="仿宋" w:hAnsi="仿宋" w:eastAsia="仿宋" w:cs="仿宋"/>
                <w:b w:val="0"/>
                <w:bCs w:val="0"/>
                <w:color w:val="auto"/>
                <w:sz w:val="21"/>
                <w:szCs w:val="21"/>
                <w:highlight w:val="none"/>
                <w:lang w:val="en-US" w:eastAsia="zh-CN" w:bidi="ar"/>
              </w:rPr>
              <w:t xml:space="preserve">1</w:t>
            </w:r>
            <w:r>
              <w:rPr>
                <w:rFonts w:hint="eastAsia" w:ascii="仿宋" w:hAnsi="仿宋" w:eastAsia="仿宋" w:cs="仿宋"/>
                <w:b w:val="0"/>
                <w:bCs w:val="0"/>
                <w:color w:val="auto"/>
                <w:sz w:val="21"/>
                <w:szCs w:val="21"/>
                <w:highlight w:val="none"/>
                <w:lang w:val="zh-CN" w:bidi="ar"/>
              </w:rPr>
              <w:t xml:space="preserve">分；其余情况不得分。</w:t>
            </w:r>
            <w:r/>
          </w:p>
          <w:p>
            <w:pPr>
              <w:ind w:firstLine="422"/>
              <w:jc w:val="left"/>
              <w:keepLines w:val="0"/>
              <w:keepNext w:val="0"/>
              <w:pageBreakBefore w:val="0"/>
              <w:spacing w:line="240" w:lineRule="exact"/>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zh-CN" w:bidi="ar"/>
              </w:rPr>
              <w:t xml:space="preserve">注：评审委员会根据各</w:t>
            </w:r>
            <w:r>
              <w:rPr>
                <w:rFonts w:hint="eastAsia" w:ascii="仿宋" w:hAnsi="仿宋" w:eastAsia="仿宋" w:cs="仿宋"/>
                <w:b/>
                <w:bCs/>
                <w:color w:val="auto"/>
                <w:sz w:val="21"/>
                <w:szCs w:val="21"/>
                <w:highlight w:val="none"/>
                <w:lang w:val="en-US" w:eastAsia="zh-CN" w:bidi="ar"/>
              </w:rPr>
              <w:t xml:space="preserve">投标人</w:t>
            </w:r>
            <w:r>
              <w:rPr>
                <w:rFonts w:hint="eastAsia" w:ascii="仿宋" w:hAnsi="仿宋" w:eastAsia="仿宋" w:cs="仿宋"/>
                <w:b/>
                <w:bCs/>
                <w:color w:val="auto"/>
                <w:sz w:val="21"/>
                <w:szCs w:val="21"/>
                <w:highlight w:val="none"/>
                <w:lang w:val="zh-CN" w:bidi="ar"/>
              </w:rPr>
              <w:t xml:space="preserve">的具体响应内容按照以下量化的评审因素指标对各项要求进行</w:t>
            </w:r>
            <w:r>
              <w:rPr>
                <w:rFonts w:hint="eastAsia" w:ascii="仿宋" w:hAnsi="仿宋" w:eastAsia="仿宋" w:cs="仿宋"/>
                <w:b/>
                <w:bCs/>
                <w:color w:val="auto"/>
                <w:sz w:val="21"/>
                <w:szCs w:val="21"/>
                <w:highlight w:val="none"/>
                <w:lang w:val="en-US" w:eastAsia="zh-CN" w:bidi="ar"/>
              </w:rPr>
              <w:t xml:space="preserve">评审</w:t>
            </w:r>
            <w:r>
              <w:rPr>
                <w:rFonts w:hint="eastAsia" w:ascii="仿宋" w:hAnsi="仿宋" w:eastAsia="仿宋" w:cs="仿宋"/>
                <w:b/>
                <w:bCs/>
                <w:color w:val="auto"/>
                <w:sz w:val="21"/>
                <w:szCs w:val="21"/>
                <w:highlight w:val="none"/>
                <w:lang w:val="zh-CN" w:bidi="ar"/>
              </w:rPr>
              <w:t xml:space="preserve">：</w:t>
            </w:r>
            <w:r/>
          </w:p>
          <w:p>
            <w:pPr>
              <w:ind w:firstLine="420"/>
              <w:jc w:val="left"/>
              <w:keepLines w:val="0"/>
              <w:keepNext w:val="0"/>
              <w:pageBreakBefore w:val="0"/>
              <w:spacing w:line="24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zh-CN" w:bidi="ar"/>
              </w:rPr>
              <w:t xml:space="preserve">①方案完整详尽，可行性强，考虑周全，思路特别清晰，符合项目需求该项得</w:t>
            </w:r>
            <w:r>
              <w:rPr>
                <w:rFonts w:hint="eastAsia" w:ascii="仿宋" w:hAnsi="仿宋" w:eastAsia="仿宋" w:cs="仿宋"/>
                <w:color w:val="auto"/>
                <w:sz w:val="21"/>
                <w:szCs w:val="21"/>
                <w:highlight w:val="none"/>
                <w:lang w:val="en-US" w:eastAsia="zh-CN" w:bidi="ar"/>
              </w:rPr>
              <w:t xml:space="preserve">1</w:t>
            </w:r>
            <w:r>
              <w:rPr>
                <w:rFonts w:hint="eastAsia" w:ascii="仿宋" w:hAnsi="仿宋" w:eastAsia="仿宋" w:cs="仿宋"/>
                <w:color w:val="auto"/>
                <w:sz w:val="21"/>
                <w:szCs w:val="21"/>
                <w:highlight w:val="none"/>
                <w:lang w:val="zh-CN" w:bidi="ar"/>
              </w:rPr>
              <w:t xml:space="preserve">分；</w:t>
            </w:r>
            <w:r/>
          </w:p>
          <w:p>
            <w:pPr>
              <w:ind w:firstLine="420"/>
              <w:jc w:val="left"/>
              <w:keepLines w:val="0"/>
              <w:keepNext w:val="0"/>
              <w:pageBreakBefore w:val="0"/>
              <w:spacing w:line="24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②</w:t>
            </w:r>
            <w:r>
              <w:rPr>
                <w:rFonts w:hint="eastAsia" w:ascii="仿宋" w:hAnsi="仿宋" w:eastAsia="仿宋" w:cs="仿宋"/>
                <w:color w:val="auto"/>
                <w:sz w:val="21"/>
                <w:szCs w:val="21"/>
                <w:highlight w:val="none"/>
                <w:lang w:val="zh-CN" w:bidi="ar"/>
              </w:rPr>
              <w:t xml:space="preserve">对项目有一定的认识，方案较为完整，思路基本清晰，基本符合项目需求该项得</w:t>
            </w:r>
            <w:r>
              <w:rPr>
                <w:rFonts w:hint="eastAsia" w:ascii="仿宋" w:hAnsi="仿宋" w:eastAsia="仿宋" w:cs="仿宋"/>
                <w:color w:val="auto"/>
                <w:sz w:val="21"/>
                <w:szCs w:val="21"/>
                <w:highlight w:val="none"/>
                <w:lang w:val="en-US" w:eastAsia="zh-CN" w:bidi="ar"/>
              </w:rPr>
              <w:t xml:space="preserve">0.7</w:t>
            </w:r>
            <w:r>
              <w:rPr>
                <w:rFonts w:hint="eastAsia" w:ascii="仿宋" w:hAnsi="仿宋" w:eastAsia="仿宋" w:cs="仿宋"/>
                <w:color w:val="auto"/>
                <w:sz w:val="21"/>
                <w:szCs w:val="21"/>
                <w:highlight w:val="none"/>
                <w:lang w:val="zh-CN" w:bidi="ar"/>
              </w:rPr>
              <w:t xml:space="preserve">分；</w:t>
            </w:r>
            <w:r/>
          </w:p>
          <w:p>
            <w:pPr>
              <w:ind w:firstLine="420"/>
              <w:jc w:val="left"/>
              <w:keepLines w:val="0"/>
              <w:keepNext w:val="0"/>
              <w:pageBreakBefore w:val="0"/>
              <w:spacing w:line="24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③</w:t>
            </w:r>
            <w:r>
              <w:rPr>
                <w:rFonts w:hint="eastAsia" w:ascii="仿宋" w:hAnsi="仿宋" w:eastAsia="仿宋" w:cs="仿宋"/>
                <w:color w:val="auto"/>
                <w:sz w:val="21"/>
                <w:szCs w:val="21"/>
                <w:highlight w:val="none"/>
                <w:lang w:val="zh-CN" w:bidi="ar"/>
              </w:rPr>
              <w:t xml:space="preserve">方案</w:t>
            </w:r>
            <w:r>
              <w:rPr>
                <w:rFonts w:hint="eastAsia" w:ascii="仿宋" w:hAnsi="仿宋" w:eastAsia="仿宋" w:cs="仿宋"/>
                <w:color w:val="auto"/>
                <w:sz w:val="21"/>
                <w:szCs w:val="21"/>
                <w:highlight w:val="none"/>
                <w:lang w:val="en-US" w:eastAsia="zh-CN" w:bidi="ar"/>
              </w:rPr>
              <w:t xml:space="preserve">内容</w:t>
            </w:r>
            <w:r>
              <w:rPr>
                <w:rFonts w:hint="eastAsia" w:ascii="仿宋" w:hAnsi="仿宋" w:eastAsia="仿宋" w:cs="仿宋"/>
                <w:color w:val="auto"/>
                <w:sz w:val="21"/>
                <w:szCs w:val="21"/>
                <w:highlight w:val="none"/>
                <w:lang w:val="zh-CN" w:bidi="ar"/>
              </w:rPr>
              <w:t xml:space="preserve">欠</w:t>
            </w:r>
            <w:r>
              <w:rPr>
                <w:rFonts w:hint="eastAsia" w:ascii="仿宋" w:hAnsi="仿宋" w:eastAsia="仿宋" w:cs="仿宋"/>
                <w:color w:val="auto"/>
                <w:sz w:val="21"/>
                <w:szCs w:val="21"/>
                <w:highlight w:val="none"/>
                <w:lang w:val="en-US" w:eastAsia="zh-CN" w:bidi="ar"/>
              </w:rPr>
              <w:t xml:space="preserve">缺</w:t>
            </w:r>
            <w:r>
              <w:rPr>
                <w:rFonts w:hint="eastAsia" w:ascii="仿宋" w:hAnsi="仿宋" w:eastAsia="仿宋" w:cs="仿宋"/>
                <w:color w:val="auto"/>
                <w:sz w:val="21"/>
                <w:szCs w:val="21"/>
                <w:highlight w:val="none"/>
                <w:lang w:val="zh-CN" w:bidi="ar"/>
              </w:rPr>
              <w:t xml:space="preserve">，与项目需求响应度低，项目理解思路</w:t>
            </w:r>
            <w:r>
              <w:rPr>
                <w:rFonts w:hint="eastAsia" w:ascii="仿宋" w:hAnsi="仿宋" w:eastAsia="仿宋" w:cs="仿宋"/>
                <w:color w:val="auto"/>
                <w:sz w:val="21"/>
                <w:szCs w:val="21"/>
                <w:highlight w:val="none"/>
                <w:lang w:val="en-US" w:eastAsia="zh-CN" w:bidi="ar"/>
              </w:rPr>
              <w:t xml:space="preserve">不够清晰</w:t>
            </w:r>
            <w:r>
              <w:rPr>
                <w:rFonts w:hint="eastAsia" w:ascii="仿宋" w:hAnsi="仿宋" w:eastAsia="仿宋" w:cs="仿宋"/>
                <w:color w:val="auto"/>
                <w:sz w:val="21"/>
                <w:szCs w:val="21"/>
                <w:highlight w:val="none"/>
                <w:lang w:val="zh-CN" w:bidi="ar"/>
              </w:rPr>
              <w:t xml:space="preserve">该项得</w:t>
            </w:r>
            <w:r>
              <w:rPr>
                <w:rFonts w:hint="eastAsia" w:ascii="仿宋" w:hAnsi="仿宋" w:eastAsia="仿宋" w:cs="仿宋"/>
                <w:color w:val="auto"/>
                <w:sz w:val="21"/>
                <w:szCs w:val="21"/>
                <w:highlight w:val="none"/>
                <w:lang w:val="en-US" w:eastAsia="zh-CN" w:bidi="ar"/>
              </w:rPr>
              <w:t xml:space="preserve">0.4</w:t>
            </w:r>
            <w:r>
              <w:rPr>
                <w:rFonts w:hint="eastAsia" w:ascii="仿宋" w:hAnsi="仿宋" w:eastAsia="仿宋" w:cs="仿宋"/>
                <w:color w:val="auto"/>
                <w:sz w:val="21"/>
                <w:szCs w:val="21"/>
                <w:highlight w:val="none"/>
                <w:lang w:val="zh-CN" w:bidi="ar"/>
              </w:rPr>
              <w:t xml:space="preserve">分。</w:t>
            </w:r>
            <w:r/>
          </w:p>
          <w:p>
            <w:pPr>
              <w:ind w:firstLine="420"/>
              <w:jc w:val="left"/>
              <w:keepLines w:val="0"/>
              <w:keepNext w:val="0"/>
              <w:pageBreakBefore w:val="0"/>
              <w:spacing w:line="24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
              </w:rPr>
              <w:t xml:space="preserve">④</w:t>
            </w:r>
            <w:r>
              <w:rPr>
                <w:rFonts w:hint="eastAsia" w:ascii="仿宋" w:hAnsi="仿宋" w:eastAsia="仿宋" w:cs="仿宋"/>
                <w:color w:val="auto"/>
                <w:sz w:val="21"/>
                <w:szCs w:val="21"/>
                <w:highlight w:val="none"/>
              </w:rPr>
              <w:t xml:space="preserve">未提供方案或提供的方案不符合项目要求的得0分。</w:t>
            </w:r>
            <w:r/>
          </w:p>
        </w:tc>
      </w:tr>
      <w:tr>
        <w:trPr>
          <w:jc w:val="center"/>
          <w:trHeight w:val="1680"/>
        </w:trPr>
        <w:tc>
          <w:tcPr>
            <w:tcBorders>
              <w:left w:val="single" w:color="auto" w:sz="4" w:space="0"/>
              <w:right w:val="single" w:color="auto" w:sz="4" w:space="0"/>
            </w:tcBorders>
            <w:tcW w:w="575" w:type="dxa"/>
            <w:vAlign w:val="center"/>
            <w:vMerge w:val="restart"/>
            <w:textDirection w:val="lrTb"/>
            <w:noWrap w:val="false"/>
          </w:tcPr>
          <w:p>
            <w:pPr>
              <w:jc w:val="center"/>
              <w:keepLines w:val="0"/>
              <w:keepNext w:val="0"/>
              <w:pageBreakBefore w:val="0"/>
              <w:spacing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三</w:t>
            </w:r>
            <w:r/>
          </w:p>
        </w:tc>
        <w:tc>
          <w:tcPr>
            <w:tcBorders>
              <w:left w:val="single" w:color="auto" w:sz="4" w:space="0"/>
              <w:right w:val="single" w:color="auto" w:sz="4" w:space="0"/>
            </w:tcBorders>
            <w:tcW w:w="1118" w:type="dxa"/>
            <w:vAlign w:val="center"/>
            <w:vMerge w:val="restart"/>
            <w:textDirection w:val="lrTb"/>
            <w:noWrap w:val="false"/>
          </w:tcPr>
          <w:p>
            <w:pPr>
              <w:jc w:val="center"/>
              <w:keepLines w:val="0"/>
              <w:keepNext w:val="0"/>
              <w:pageBreakBefore w:val="0"/>
              <w:spacing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商务部分</w:t>
            </w:r>
            <w:r/>
          </w:p>
        </w:tc>
        <w:tc>
          <w:tcPr>
            <w:shd w:val="clear" w:color="auto" w:fill="auto"/>
            <w:tcBorders>
              <w:top w:val="single" w:color="auto" w:sz="4" w:space="0"/>
              <w:left w:val="single" w:color="auto" w:sz="4" w:space="0"/>
              <w:right w:val="single" w:color="auto" w:sz="4" w:space="0"/>
            </w:tcBorders>
            <w:tcW w:w="1352" w:type="dxa"/>
            <w:vAlign w:val="center"/>
            <w:textDirection w:val="lrTb"/>
            <w:noWrap w:val="false"/>
          </w:tcPr>
          <w:p>
            <w:pPr>
              <w:jc w:val="center"/>
              <w:keepLines w:val="0"/>
              <w:keepNext w:val="0"/>
              <w:pageBreakBefore w:val="0"/>
              <w:spacing w:line="240" w:lineRule="exact"/>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 xml:space="preserve">业绩</w:t>
            </w:r>
            <w:r/>
          </w:p>
        </w:tc>
        <w:tc>
          <w:tcPr>
            <w:shd w:val="clear" w:color="auto" w:fill="auto"/>
            <w:tcBorders>
              <w:top w:val="single" w:color="auto" w:sz="4" w:space="0"/>
              <w:left w:val="single" w:color="auto" w:sz="4" w:space="0"/>
              <w:right w:val="single" w:color="auto" w:sz="4" w:space="0"/>
            </w:tcBorders>
            <w:tcW w:w="818" w:type="dxa"/>
            <w:vAlign w:val="center"/>
            <w:textDirection w:val="lrTb"/>
            <w:noWrap w:val="false"/>
          </w:tcPr>
          <w:p>
            <w:pPr>
              <w:jc w:val="center"/>
              <w:keepLines w:val="0"/>
              <w:keepNext w:val="0"/>
              <w:pageBreakBefore w:val="0"/>
              <w:spacing w:line="240" w:lineRule="exact"/>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 xml:space="preserve">2</w:t>
            </w:r>
            <w:r/>
          </w:p>
        </w:tc>
        <w:tc>
          <w:tcPr>
            <w:shd w:val="clear" w:color="auto" w:fill="auto"/>
            <w:tcBorders>
              <w:top w:val="single" w:color="auto" w:sz="4" w:space="0"/>
              <w:left w:val="single" w:color="auto" w:sz="4" w:space="0"/>
              <w:right w:val="single" w:color="auto" w:sz="4" w:space="0"/>
            </w:tcBorders>
            <w:tcW w:w="5697" w:type="dxa"/>
            <w:vAlign w:val="center"/>
            <w:textDirection w:val="lrTb"/>
            <w:noWrap w:val="false"/>
          </w:tcPr>
          <w:p>
            <w:pPr>
              <w:ind w:firstLine="420"/>
              <w:jc w:val="left"/>
              <w:keepLines w:val="0"/>
              <w:keepNext w:val="0"/>
              <w:pageBreakBefore w:val="0"/>
              <w:spacing w:line="240" w:lineRule="exac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 xml:space="preserve">投标人自2022年1月1日以来</w:t>
            </w:r>
            <w:r>
              <w:rPr>
                <w:rFonts w:hint="eastAsia" w:ascii="仿宋" w:hAnsi="仿宋" w:eastAsia="仿宋" w:cs="仿宋"/>
                <w:b w:val="0"/>
                <w:bCs w:val="0"/>
                <w:color w:val="auto"/>
                <w:sz w:val="21"/>
                <w:szCs w:val="21"/>
                <w:highlight w:val="none"/>
              </w:rPr>
              <w:t xml:space="preserve">（以合同签订日期为准）投标人承担过类似项目</w:t>
            </w:r>
            <w:r>
              <w:rPr>
                <w:rFonts w:hint="eastAsia" w:ascii="仿宋" w:hAnsi="仿宋" w:eastAsia="仿宋" w:cs="仿宋"/>
                <w:b w:val="0"/>
                <w:bCs w:val="0"/>
                <w:color w:val="auto"/>
                <w:sz w:val="21"/>
                <w:szCs w:val="21"/>
                <w:highlight w:val="none"/>
                <w:lang w:eastAsia="zh-CN"/>
              </w:rPr>
              <w:t xml:space="preserve">的</w:t>
            </w:r>
            <w:r>
              <w:rPr>
                <w:rFonts w:hint="eastAsia" w:ascii="仿宋" w:hAnsi="仿宋" w:eastAsia="仿宋" w:cs="仿宋"/>
                <w:b w:val="0"/>
                <w:bCs w:val="0"/>
                <w:color w:val="auto"/>
                <w:sz w:val="21"/>
                <w:szCs w:val="21"/>
                <w:highlight w:val="none"/>
                <w:lang w:val="en-US" w:eastAsia="zh-CN"/>
              </w:rPr>
              <w:t xml:space="preserve">成功案例</w:t>
            </w:r>
            <w:r>
              <w:rPr>
                <w:rFonts w:hint="eastAsia" w:ascii="仿宋" w:hAnsi="仿宋" w:eastAsia="仿宋" w:cs="仿宋"/>
                <w:b w:val="0"/>
                <w:bCs w:val="0"/>
                <w:color w:val="auto"/>
                <w:sz w:val="21"/>
                <w:szCs w:val="21"/>
                <w:highlight w:val="none"/>
                <w:lang w:eastAsia="zh-CN"/>
              </w:rPr>
              <w:t xml:space="preserve">，每提供1份有效</w:t>
            </w:r>
            <w:r>
              <w:rPr>
                <w:rFonts w:hint="eastAsia" w:ascii="仿宋" w:hAnsi="仿宋" w:eastAsia="仿宋" w:cs="仿宋"/>
                <w:b w:val="0"/>
                <w:bCs w:val="0"/>
                <w:color w:val="auto"/>
                <w:sz w:val="21"/>
                <w:szCs w:val="21"/>
                <w:highlight w:val="none"/>
                <w:lang w:val="en-US" w:eastAsia="zh-CN"/>
              </w:rPr>
              <w:t xml:space="preserve">业绩</w:t>
            </w:r>
            <w:r>
              <w:rPr>
                <w:rFonts w:hint="eastAsia" w:ascii="仿宋" w:hAnsi="仿宋" w:eastAsia="仿宋" w:cs="仿宋"/>
                <w:b w:val="0"/>
                <w:bCs w:val="0"/>
                <w:color w:val="auto"/>
                <w:sz w:val="21"/>
                <w:szCs w:val="21"/>
                <w:highlight w:val="none"/>
                <w:lang w:eastAsia="zh-CN"/>
              </w:rPr>
              <w:t xml:space="preserve">得</w:t>
            </w:r>
            <w:r>
              <w:rPr>
                <w:rFonts w:hint="eastAsia" w:ascii="仿宋" w:hAnsi="仿宋" w:eastAsia="仿宋" w:cs="仿宋"/>
                <w:b w:val="0"/>
                <w:bCs w:val="0"/>
                <w:color w:val="auto"/>
                <w:sz w:val="21"/>
                <w:szCs w:val="21"/>
                <w:highlight w:val="none"/>
                <w:lang w:val="en-US" w:eastAsia="zh-CN"/>
              </w:rPr>
              <w:t xml:space="preserve">1</w:t>
            </w:r>
            <w:r>
              <w:rPr>
                <w:rFonts w:hint="eastAsia" w:ascii="仿宋" w:hAnsi="仿宋" w:eastAsia="仿宋" w:cs="仿宋"/>
                <w:b w:val="0"/>
                <w:bCs w:val="0"/>
                <w:color w:val="auto"/>
                <w:sz w:val="21"/>
                <w:szCs w:val="21"/>
                <w:highlight w:val="none"/>
                <w:lang w:eastAsia="zh-CN"/>
              </w:rPr>
              <w:t xml:space="preserve">分，本项最多得</w:t>
            </w:r>
            <w:r>
              <w:rPr>
                <w:rFonts w:hint="eastAsia" w:ascii="仿宋" w:hAnsi="仿宋" w:eastAsia="仿宋" w:cs="仿宋"/>
                <w:b w:val="0"/>
                <w:bCs w:val="0"/>
                <w:color w:val="auto"/>
                <w:sz w:val="21"/>
                <w:szCs w:val="21"/>
                <w:highlight w:val="none"/>
                <w:lang w:val="en-US" w:eastAsia="zh-CN"/>
              </w:rPr>
              <w:t xml:space="preserve">2</w:t>
            </w:r>
            <w:r>
              <w:rPr>
                <w:rFonts w:hint="eastAsia" w:ascii="仿宋" w:hAnsi="仿宋" w:eastAsia="仿宋" w:cs="仿宋"/>
                <w:b w:val="0"/>
                <w:bCs w:val="0"/>
                <w:color w:val="auto"/>
                <w:sz w:val="21"/>
                <w:szCs w:val="21"/>
                <w:highlight w:val="none"/>
                <w:lang w:eastAsia="zh-CN"/>
              </w:rPr>
              <w:t xml:space="preserve">分。</w:t>
            </w:r>
            <w:r/>
          </w:p>
          <w:p>
            <w:pPr>
              <w:ind w:firstLine="420"/>
              <w:jc w:val="left"/>
              <w:keepLines w:val="0"/>
              <w:keepNext w:val="0"/>
              <w:pageBreakBefore w:val="0"/>
              <w:spacing w:line="240" w:lineRule="exac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 xml:space="preserve">注：①本项需自行拟制业绩汇总表；</w:t>
            </w:r>
            <w:r/>
          </w:p>
          <w:p>
            <w:pPr>
              <w:ind w:firstLine="840"/>
              <w:jc w:val="left"/>
              <w:keepLines w:val="0"/>
              <w:keepNext w:val="0"/>
              <w:pageBreakBefore w:val="0"/>
              <w:spacing w:line="240" w:lineRule="exact"/>
              <w:rPr>
                <w:rFonts w:hint="eastAsia" w:ascii="仿宋" w:hAnsi="仿宋" w:eastAsia="仿宋" w:cs="仿宋"/>
                <w:color w:val="auto"/>
                <w:sz w:val="21"/>
                <w:szCs w:val="21"/>
                <w:highlight w:val="none"/>
                <w:lang w:val="en-US" w:eastAsia="zh-CN" w:bidi="ar-SA"/>
              </w:rPr>
            </w:pPr>
            <w:r>
              <w:rPr>
                <w:rFonts w:hint="eastAsia" w:ascii="仿宋" w:hAnsi="仿宋" w:eastAsia="仿宋" w:cs="仿宋"/>
                <w:b w:val="0"/>
                <w:bCs w:val="0"/>
                <w:color w:val="auto"/>
                <w:sz w:val="21"/>
                <w:szCs w:val="21"/>
                <w:highlight w:val="none"/>
              </w:rPr>
              <w:t xml:space="preserve">②投标文件中须同时提供合同及</w:t>
            </w:r>
            <w:r>
              <w:rPr>
                <w:rFonts w:hint="eastAsia" w:ascii="仿宋" w:hAnsi="仿宋" w:eastAsia="仿宋" w:cs="仿宋"/>
                <w:b w:val="0"/>
                <w:bCs w:val="0"/>
                <w:color w:val="auto"/>
                <w:sz w:val="21"/>
                <w:szCs w:val="21"/>
                <w:highlight w:val="none"/>
                <w:lang w:val="en-US" w:eastAsia="zh-CN"/>
              </w:rPr>
              <w:t xml:space="preserve">相关</w:t>
            </w:r>
            <w:r>
              <w:rPr>
                <w:rFonts w:hint="eastAsia" w:ascii="仿宋" w:hAnsi="仿宋" w:eastAsia="仿宋" w:cs="仿宋"/>
                <w:b w:val="0"/>
                <w:bCs w:val="0"/>
                <w:color w:val="auto"/>
                <w:sz w:val="21"/>
                <w:szCs w:val="21"/>
                <w:highlight w:val="none"/>
              </w:rPr>
              <w:t xml:space="preserve">验收证明</w:t>
            </w:r>
            <w:r>
              <w:rPr>
                <w:rFonts w:hint="eastAsia" w:ascii="仿宋" w:hAnsi="仿宋" w:eastAsia="仿宋" w:cs="仿宋"/>
                <w:b w:val="0"/>
                <w:bCs w:val="0"/>
                <w:color w:val="auto"/>
                <w:sz w:val="21"/>
                <w:szCs w:val="21"/>
                <w:highlight w:val="none"/>
                <w:lang w:val="en-US" w:eastAsia="zh-CN"/>
              </w:rPr>
              <w:t xml:space="preserve">扫描件</w:t>
            </w:r>
            <w:r>
              <w:rPr>
                <w:rFonts w:hint="eastAsia" w:ascii="仿宋" w:hAnsi="仿宋" w:eastAsia="仿宋" w:cs="仿宋"/>
                <w:b w:val="0"/>
                <w:bCs w:val="0"/>
                <w:color w:val="auto"/>
                <w:sz w:val="21"/>
                <w:szCs w:val="21"/>
                <w:highlight w:val="none"/>
              </w:rPr>
              <w:t xml:space="preserve">，否则不得分。</w:t>
            </w:r>
            <w:r/>
          </w:p>
        </w:tc>
      </w:tr>
      <w:tr>
        <w:trPr>
          <w:jc w:val="center"/>
          <w:trHeight w:val="1550"/>
        </w:trPr>
        <w:tc>
          <w:tcPr>
            <w:tcBorders>
              <w:left w:val="single" w:color="auto" w:sz="4" w:space="0"/>
              <w:right w:val="single" w:color="auto" w:sz="4" w:space="0"/>
            </w:tcBorders>
            <w:tcW w:w="575" w:type="dxa"/>
            <w:vAlign w:val="center"/>
            <w:vMerge w:val="continue"/>
            <w:textDirection w:val="lrTb"/>
            <w:noWrap w:val="false"/>
          </w:tcPr>
          <w:p>
            <w:pPr>
              <w:jc w:val="center"/>
              <w:keepLines w:val="0"/>
              <w:keepNext w:val="0"/>
              <w:pageBreakBefore w:val="0"/>
              <w:spacing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single" w:color="auto" w:sz="4" w:space="0"/>
              <w:right w:val="single" w:color="auto" w:sz="4" w:space="0"/>
            </w:tcBorders>
            <w:tcW w:w="1118" w:type="dxa"/>
            <w:vAlign w:val="center"/>
            <w:vMerge w:val="continue"/>
            <w:textDirection w:val="lrTb"/>
            <w:noWrap w:val="false"/>
          </w:tcPr>
          <w:p>
            <w:pPr>
              <w:jc w:val="center"/>
              <w:keepLines w:val="0"/>
              <w:keepNext w:val="0"/>
              <w:pageBreakBefore w:val="0"/>
              <w:spacing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shd w:val="clear" w:color="auto" w:fill="auto"/>
            <w:tcBorders>
              <w:top w:val="single" w:color="auto" w:sz="4" w:space="0"/>
              <w:left w:val="single" w:color="auto" w:sz="4" w:space="0"/>
              <w:right w:val="single" w:color="auto" w:sz="4" w:space="0"/>
            </w:tcBorders>
            <w:tcW w:w="1352" w:type="dxa"/>
            <w:vAlign w:val="center"/>
            <w:textDirection w:val="lrTb"/>
            <w:noWrap w:val="false"/>
          </w:tcPr>
          <w:p>
            <w:pPr>
              <w:jc w:val="center"/>
              <w:keepLines w:val="0"/>
              <w:keepNext w:val="0"/>
              <w:pageBreakBefore w:val="0"/>
              <w:spacing w:line="240" w:lineRule="exac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产品实力</w:t>
            </w:r>
            <w:r/>
          </w:p>
        </w:tc>
        <w:tc>
          <w:tcPr>
            <w:shd w:val="clear" w:color="auto" w:fill="auto"/>
            <w:tcBorders>
              <w:top w:val="single" w:color="auto" w:sz="4" w:space="0"/>
              <w:left w:val="single" w:color="auto" w:sz="4" w:space="0"/>
              <w:right w:val="single" w:color="auto" w:sz="4" w:space="0"/>
            </w:tcBorders>
            <w:tcW w:w="818" w:type="dxa"/>
            <w:vAlign w:val="center"/>
            <w:textDirection w:val="lrTb"/>
            <w:noWrap w:val="false"/>
          </w:tcPr>
          <w:p>
            <w:pPr>
              <w:jc w:val="center"/>
              <w:keepLines w:val="0"/>
              <w:keepNext w:val="0"/>
              <w:pageBreakBefore w:val="0"/>
              <w:spacing w:line="240" w:lineRule="exact"/>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1</w:t>
            </w:r>
            <w:r/>
          </w:p>
        </w:tc>
        <w:tc>
          <w:tcPr>
            <w:shd w:val="clear" w:color="auto" w:fill="auto"/>
            <w:tcBorders>
              <w:top w:val="single" w:color="auto" w:sz="4" w:space="0"/>
              <w:left w:val="single" w:color="auto" w:sz="4" w:space="0"/>
              <w:right w:val="single" w:color="auto" w:sz="4" w:space="0"/>
            </w:tcBorders>
            <w:tcW w:w="5697" w:type="dxa"/>
            <w:vAlign w:val="center"/>
            <w:textDirection w:val="lrTb"/>
            <w:noWrap w:val="false"/>
          </w:tcPr>
          <w:p>
            <w:pPr>
              <w:ind w:firstLine="420"/>
              <w:jc w:val="left"/>
              <w:keepLines w:val="0"/>
              <w:keepNext w:val="0"/>
              <w:pageBreakBefore w:val="0"/>
              <w:spacing w:line="240" w:lineRule="exact"/>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所投产品中具有小学科学、融合学科类VR教学资源相关的软件著作权，有1个得0.5分，最多得1分。</w:t>
            </w:r>
            <w:r/>
          </w:p>
          <w:p>
            <w:pPr>
              <w:ind w:firstLine="420"/>
              <w:jc w:val="left"/>
              <w:keepLines w:val="0"/>
              <w:keepNext w:val="0"/>
              <w:pageBreakBefore w:val="0"/>
              <w:spacing w:line="240" w:lineRule="exact"/>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注：1.所登记注册的软件名称表述可略有不同，但内容必须相关，含相同关键字段的软件著作权不重复计数。</w:t>
            </w:r>
            <w:r/>
          </w:p>
          <w:p>
            <w:pPr>
              <w:ind w:firstLine="420"/>
              <w:jc w:val="left"/>
              <w:keepLines w:val="0"/>
              <w:keepNext w:val="0"/>
              <w:pageBreakBefore w:val="0"/>
              <w:spacing w:line="240" w:lineRule="exact"/>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2.需提供相关有效证书扫描件或相关证明材料扫描件，在合同签订前由成交供应商提供相关资料原件核查。</w:t>
            </w:r>
            <w:r/>
          </w:p>
        </w:tc>
      </w:tr>
      <w:tr>
        <w:trPr>
          <w:jc w:val="center"/>
          <w:trHeight w:val="2312"/>
        </w:trPr>
        <w:tc>
          <w:tcPr>
            <w:tcBorders>
              <w:left w:val="single" w:color="auto" w:sz="4" w:space="0"/>
              <w:right w:val="single" w:color="auto" w:sz="4" w:space="0"/>
            </w:tcBorders>
            <w:tcW w:w="575" w:type="dxa"/>
            <w:vAlign w:val="center"/>
            <w:vMerge w:val="continue"/>
            <w:textDirection w:val="lrTb"/>
            <w:noWrap w:val="false"/>
          </w:tcPr>
          <w:p>
            <w:pPr>
              <w:jc w:val="center"/>
              <w:keepLines w:val="0"/>
              <w:keepNext w:val="0"/>
              <w:pageBreakBefore w:val="0"/>
              <w:spacing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single" w:color="auto" w:sz="4" w:space="0"/>
              <w:right w:val="single" w:color="auto" w:sz="4" w:space="0"/>
            </w:tcBorders>
            <w:tcW w:w="1118" w:type="dxa"/>
            <w:vAlign w:val="center"/>
            <w:vMerge w:val="continue"/>
            <w:textDirection w:val="lrTb"/>
            <w:noWrap w:val="false"/>
          </w:tcPr>
          <w:p>
            <w:pPr>
              <w:jc w:val="center"/>
              <w:keepLines w:val="0"/>
              <w:keepNext w:val="0"/>
              <w:pageBreakBefore w:val="0"/>
              <w:spacing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shd w:val="clear" w:color="auto" w:fill="auto"/>
            <w:tcBorders>
              <w:top w:val="single" w:color="auto" w:sz="4" w:space="0"/>
              <w:left w:val="single" w:color="auto" w:sz="4" w:space="0"/>
              <w:right w:val="single" w:color="auto" w:sz="4" w:space="0"/>
            </w:tcBorders>
            <w:tcW w:w="1352" w:type="dxa"/>
            <w:vAlign w:val="center"/>
            <w:textDirection w:val="lrTb"/>
            <w:noWrap w:val="false"/>
          </w:tcPr>
          <w:p>
            <w:pPr>
              <w:jc w:val="center"/>
              <w:keepLines w:val="0"/>
              <w:keepNext w:val="0"/>
              <w:pageBreakBefore w:val="0"/>
              <w:spacing w:line="240" w:lineRule="exact"/>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color w:val="auto"/>
                <w:sz w:val="21"/>
                <w:szCs w:val="21"/>
                <w:highlight w:val="none"/>
              </w:rPr>
              <w:t xml:space="preserve">节能环保</w:t>
            </w:r>
            <w:r/>
          </w:p>
        </w:tc>
        <w:tc>
          <w:tcPr>
            <w:shd w:val="clear" w:color="auto" w:fill="auto"/>
            <w:tcBorders>
              <w:top w:val="single" w:color="auto" w:sz="4" w:space="0"/>
              <w:left w:val="single" w:color="auto" w:sz="4" w:space="0"/>
              <w:right w:val="single" w:color="auto" w:sz="4" w:space="0"/>
            </w:tcBorders>
            <w:tcW w:w="818" w:type="dxa"/>
            <w:vAlign w:val="center"/>
            <w:textDirection w:val="lrTb"/>
            <w:noWrap w:val="false"/>
          </w:tcPr>
          <w:p>
            <w:pPr>
              <w:jc w:val="center"/>
              <w:keepLines w:val="0"/>
              <w:keepNext w:val="0"/>
              <w:pageBreakBefore w:val="0"/>
              <w:spacing w:line="240" w:lineRule="exact"/>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 xml:space="preserve">2</w:t>
            </w:r>
            <w:r/>
          </w:p>
        </w:tc>
        <w:tc>
          <w:tcPr>
            <w:shd w:val="clear" w:color="auto" w:fill="auto"/>
            <w:tcBorders>
              <w:top w:val="single" w:color="auto" w:sz="4" w:space="0"/>
              <w:left w:val="single" w:color="auto" w:sz="4" w:space="0"/>
              <w:right w:val="single" w:color="auto" w:sz="4" w:space="0"/>
            </w:tcBorders>
            <w:tcW w:w="5697" w:type="dxa"/>
            <w:vAlign w:val="center"/>
            <w:textDirection w:val="lrTb"/>
            <w:noWrap w:val="false"/>
          </w:tcPr>
          <w:p>
            <w:pPr>
              <w:ind w:firstLine="420"/>
              <w:jc w:val="left"/>
              <w:keepLines w:val="0"/>
              <w:keepNext w:val="0"/>
              <w:pageBreakBefore w:val="0"/>
              <w:spacing w:line="240" w:lineRule="exac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 xml:space="preserve">1、投标产品属于财政部、国家发改委公布的“节能产品品目清单”范围内的，投标人提供国家确定的认证机构出具的、处于有效期之内的该节能产品认证证书原件彩色扫描件的，有1个得0.5分，最多得1分。如投标产品均属于政府强制采购节能产品品目清单范围内，本项不得分。</w:t>
            </w:r>
            <w:r/>
          </w:p>
          <w:p>
            <w:pPr>
              <w:ind w:firstLine="420"/>
              <w:jc w:val="left"/>
              <w:keepLines w:val="0"/>
              <w:keepNext w:val="0"/>
              <w:pageBreakBefore w:val="0"/>
              <w:spacing w:line="240" w:lineRule="exact"/>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 xml:space="preserve">2、投标产品属于财政部、生态环境部公布的“环境标志产品品目清单”范围内的，投标人提供国家确定的认证机构出具的、处于有效期内的该环保产品认证证书原件彩色扫描件的，有1个得0.5分，最多得1分。</w:t>
            </w:r>
            <w:r/>
          </w:p>
        </w:tc>
      </w:tr>
    </w:tbl>
    <w:p>
      <w:pPr>
        <w:pStyle w:val="738"/>
        <w:jc w:val="center"/>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738"/>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738"/>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738"/>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第六章  投标文件格式 </w:t>
      </w:r>
      <w:r/>
    </w:p>
    <w:p>
      <w:pPr>
        <w:pStyle w:val="738"/>
        <w:jc w:val="center"/>
        <w:spacing w:beforeAutospacing="0" w:afterAutospacing="0"/>
        <w:rPr>
          <w:rFonts w:hint="eastAsia" w:ascii="宋体" w:hAnsi="宋体" w:eastAsia="宋体" w:cs="宋体"/>
          <w:b/>
          <w:color w:val="auto"/>
          <w:sz w:val="72"/>
          <w:szCs w:val="72"/>
          <w:highlight w:val="none"/>
        </w:rPr>
      </w:pPr>
      <w:r/>
      <w:bookmarkStart w:id="176" w:name="_Toc120614282"/>
      <w:r/>
      <w:bookmarkEnd w:id="176"/>
      <w:r/>
      <w:bookmarkStart w:id="177" w:name="_Toc49090576"/>
      <w:r/>
      <w:bookmarkEnd w:id="177"/>
      <w:r/>
      <w:bookmarkStart w:id="178" w:name="_Hlt26955039"/>
      <w:r/>
      <w:bookmarkStart w:id="179" w:name="_Toc26554094"/>
      <w:r/>
      <w:bookmarkStart w:id="180" w:name="_Hlt26671244"/>
      <w:r/>
      <w:r/>
    </w:p>
    <w:p>
      <w:pPr>
        <w:pStyle w:val="738"/>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38"/>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投  标  文  件</w:t>
      </w:r>
      <w:r/>
    </w:p>
    <w:p>
      <w:pPr>
        <w:pStyle w:val="738"/>
        <w:jc w:val="center"/>
        <w:spacing w:beforeAutospacing="0" w:afterAutospacing="0"/>
        <w:rPr>
          <w:color w:val="auto"/>
          <w:highlight w:val="none"/>
        </w:rPr>
      </w:pPr>
      <w:r>
        <w:rPr>
          <w:color w:val="auto"/>
          <w:highlight w:val="none"/>
        </w:rPr>
        <w:t xml:space="preserve"> </w:t>
      </w:r>
      <w:r/>
    </w:p>
    <w:p>
      <w:pPr>
        <w:pStyle w:val="738"/>
        <w:jc w:val="center"/>
        <w:spacing w:beforeAutospacing="0" w:afterAutospacing="0"/>
        <w:rPr>
          <w:color w:val="auto"/>
          <w:highlight w:val="none"/>
        </w:rPr>
      </w:pPr>
      <w:r>
        <w:rPr>
          <w:color w:val="auto"/>
          <w:highlight w:val="none"/>
        </w:rPr>
        <w:t xml:space="preserve"> </w:t>
      </w:r>
      <w:r/>
    </w:p>
    <w:p>
      <w:pPr>
        <w:pStyle w:val="738"/>
        <w:jc w:val="center"/>
        <w:spacing w:beforeAutospacing="0" w:afterAutospacing="0"/>
        <w:rPr>
          <w:color w:val="auto"/>
          <w:highlight w:val="none"/>
        </w:rPr>
      </w:pPr>
      <w:r>
        <w:rPr>
          <w:color w:val="auto"/>
          <w:highlight w:val="none"/>
        </w:rPr>
        <w:t xml:space="preserve"> </w:t>
      </w:r>
      <w:r/>
    </w:p>
    <w:p>
      <w:pPr>
        <w:pStyle w:val="738"/>
        <w:jc w:val="center"/>
        <w:spacing w:beforeAutospacing="0" w:afterAutospacing="0"/>
        <w:rPr>
          <w:color w:val="auto"/>
          <w:highlight w:val="none"/>
        </w:rPr>
      </w:pPr>
      <w:r>
        <w:rPr>
          <w:color w:val="auto"/>
          <w:highlight w:val="none"/>
        </w:rPr>
      </w:r>
      <w:r/>
    </w:p>
    <w:p>
      <w:pPr>
        <w:pStyle w:val="738"/>
        <w:jc w:val="center"/>
        <w:spacing w:beforeAutospacing="0" w:afterAutospacing="0"/>
        <w:rPr>
          <w:color w:val="auto"/>
          <w:highlight w:val="none"/>
        </w:rPr>
      </w:pPr>
      <w:r>
        <w:rPr>
          <w:color w:val="auto"/>
          <w:highlight w:val="none"/>
        </w:rPr>
      </w:r>
      <w:r/>
    </w:p>
    <w:p>
      <w:pPr>
        <w:pStyle w:val="738"/>
        <w:jc w:val="center"/>
        <w:spacing w:beforeAutospacing="0" w:afterAutospacing="0"/>
        <w:rPr>
          <w:color w:val="auto"/>
          <w:highlight w:val="none"/>
        </w:rPr>
      </w:pPr>
      <w:r>
        <w:rPr>
          <w:color w:val="auto"/>
          <w:highlight w:val="none"/>
        </w:rPr>
      </w:r>
      <w:r/>
    </w:p>
    <w:p>
      <w:pPr>
        <w:pStyle w:val="738"/>
        <w:jc w:val="center"/>
        <w:spacing w:beforeAutospacing="0" w:afterAutospacing="0"/>
        <w:rPr>
          <w:color w:val="auto"/>
          <w:highlight w:val="none"/>
        </w:rPr>
      </w:pPr>
      <w:r>
        <w:rPr>
          <w:color w:val="auto"/>
          <w:highlight w:val="none"/>
        </w:rPr>
      </w:r>
      <w:r/>
    </w:p>
    <w:p>
      <w:pPr>
        <w:pStyle w:val="738"/>
        <w:jc w:val="center"/>
        <w:spacing w:beforeAutospacing="0" w:afterAutospacing="0"/>
        <w:rPr>
          <w:color w:val="auto"/>
          <w:highlight w:val="none"/>
        </w:rPr>
      </w:pPr>
      <w:r>
        <w:rPr>
          <w:color w:val="auto"/>
          <w:highlight w:val="none"/>
        </w:rPr>
      </w:r>
      <w:r/>
    </w:p>
    <w:p>
      <w:pPr>
        <w:pStyle w:val="738"/>
        <w:jc w:val="center"/>
        <w:spacing w:beforeAutospacing="0" w:afterAutospacing="0"/>
        <w:rPr>
          <w:color w:val="auto"/>
          <w:highlight w:val="none"/>
        </w:rPr>
      </w:pPr>
      <w:r>
        <w:rPr>
          <w:color w:val="auto"/>
          <w:highlight w:val="none"/>
        </w:rPr>
      </w:r>
      <w:r/>
    </w:p>
    <w:p>
      <w:pPr>
        <w:pStyle w:val="738"/>
        <w:jc w:val="center"/>
        <w:spacing w:beforeAutospacing="0" w:afterAutospacing="0"/>
        <w:rPr>
          <w:color w:val="auto"/>
          <w:highlight w:val="none"/>
        </w:rPr>
      </w:pPr>
      <w:r>
        <w:rPr>
          <w:color w:val="auto"/>
          <w:highlight w:val="none"/>
        </w:rPr>
      </w:r>
      <w:r/>
    </w:p>
    <w:p>
      <w:pPr>
        <w:pStyle w:val="738"/>
        <w:jc w:val="center"/>
        <w:spacing w:beforeAutospacing="0" w:afterAutospacing="0"/>
        <w:rPr>
          <w:color w:val="auto"/>
          <w:highlight w:val="none"/>
        </w:rPr>
      </w:pPr>
      <w:r>
        <w:rPr>
          <w:color w:val="auto"/>
          <w:highlight w:val="none"/>
        </w:rPr>
      </w:r>
      <w:r/>
    </w:p>
    <w:p>
      <w:pPr>
        <w:pStyle w:val="738"/>
        <w:jc w:val="center"/>
        <w:spacing w:beforeAutospacing="0" w:afterAutospacing="0"/>
        <w:rPr>
          <w:color w:val="auto"/>
          <w:highlight w:val="none"/>
        </w:rPr>
      </w:pPr>
      <w:r>
        <w:rPr>
          <w:color w:val="auto"/>
          <w:highlight w:val="none"/>
        </w:rPr>
      </w:r>
      <w:r/>
    </w:p>
    <w:p>
      <w:pPr>
        <w:pStyle w:val="738"/>
        <w:jc w:val="center"/>
        <w:spacing w:beforeAutospacing="0" w:afterAutospacing="0"/>
        <w:rPr>
          <w:color w:val="auto"/>
          <w:highlight w:val="none"/>
        </w:rPr>
      </w:pPr>
      <w:r>
        <w:rPr>
          <w:color w:val="auto"/>
          <w:highlight w:val="none"/>
        </w:rPr>
      </w:r>
      <w:r/>
    </w:p>
    <w:p>
      <w:pPr>
        <w:pStyle w:val="738"/>
        <w:jc w:val="center"/>
        <w:spacing w:beforeAutospacing="0" w:afterAutospacing="0"/>
        <w:rPr>
          <w:color w:val="auto"/>
          <w:highlight w:val="none"/>
        </w:rPr>
      </w:pPr>
      <w:r>
        <w:rPr>
          <w:color w:val="auto"/>
          <w:highlight w:val="none"/>
        </w:rPr>
      </w:r>
      <w:r/>
    </w:p>
    <w:p>
      <w:pPr>
        <w:pStyle w:val="738"/>
        <w:jc w:val="center"/>
        <w:spacing w:beforeAutospacing="0" w:afterAutospacing="0"/>
        <w:rPr>
          <w:color w:val="auto"/>
          <w:highlight w:val="none"/>
        </w:rPr>
      </w:pPr>
      <w:r>
        <w:rPr>
          <w:color w:val="auto"/>
          <w:highlight w:val="none"/>
        </w:rPr>
      </w:r>
      <w:r/>
    </w:p>
    <w:p>
      <w:pPr>
        <w:pStyle w:val="738"/>
        <w:jc w:val="center"/>
        <w:spacing w:beforeAutospacing="0" w:afterAutospacing="0"/>
        <w:rPr>
          <w:color w:val="auto"/>
          <w:highlight w:val="none"/>
        </w:rPr>
      </w:pPr>
      <w:r>
        <w:rPr>
          <w:color w:val="auto"/>
          <w:highlight w:val="none"/>
        </w:rPr>
      </w:r>
      <w:r/>
    </w:p>
    <w:p>
      <w:pPr>
        <w:pStyle w:val="738"/>
        <w:jc w:val="center"/>
        <w:spacing w:beforeAutospacing="0" w:afterAutospacing="0"/>
        <w:rPr>
          <w:color w:val="auto"/>
          <w:highlight w:val="none"/>
        </w:rPr>
      </w:pPr>
      <w:r>
        <w:rPr>
          <w:color w:val="auto"/>
          <w:highlight w:val="none"/>
        </w:rPr>
      </w:r>
      <w:r/>
    </w:p>
    <w:p>
      <w:pPr>
        <w:pStyle w:val="738"/>
        <w:jc w:val="center"/>
        <w:spacing w:beforeAutospacing="0" w:afterAutospacing="0"/>
        <w:rPr>
          <w:color w:val="auto"/>
          <w:highlight w:val="none"/>
        </w:rPr>
      </w:pPr>
      <w:r>
        <w:rPr>
          <w:color w:val="auto"/>
          <w:highlight w:val="none"/>
        </w:rPr>
        <w:t xml:space="preserve"> </w:t>
      </w:r>
      <w:r/>
    </w:p>
    <w:p>
      <w:pPr>
        <w:pStyle w:val="738"/>
        <w:jc w:val="center"/>
        <w:spacing w:beforeAutospacing="0" w:afterAutospacing="0"/>
        <w:rPr>
          <w:color w:val="auto"/>
          <w:highlight w:val="none"/>
        </w:rPr>
      </w:pPr>
      <w:r>
        <w:rPr>
          <w:color w:val="auto"/>
          <w:highlight w:val="none"/>
        </w:rPr>
        <w:t xml:space="preserve"> </w:t>
      </w:r>
      <w:r/>
    </w:p>
    <w:p>
      <w:pPr>
        <w:pStyle w:val="738"/>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p>
    <w:p>
      <w:pPr>
        <w:pStyle w:val="738"/>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r/>
    </w:p>
    <w:p>
      <w:pPr>
        <w:pStyle w:val="738"/>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w:t>
      </w:r>
      <w:r/>
    </w:p>
    <w:p>
      <w:pPr>
        <w:pStyle w:val="738"/>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738"/>
        <w:jc w:val="center"/>
        <w:spacing w:beforeAutospacing="0" w:afterAutospacing="0" w:line="0" w:lineRule="atLeast"/>
        <w:rPr>
          <w:color w:val="auto"/>
          <w:highlight w:val="none"/>
        </w:rPr>
      </w:pPr>
      <w:r>
        <w:rPr>
          <w:color w:val="auto"/>
          <w:highlight w:val="none"/>
        </w:rPr>
      </w:r>
      <w:r/>
    </w:p>
    <w:p>
      <w:pPr>
        <w:pStyle w:val="738"/>
        <w:jc w:val="center"/>
        <w:spacing w:beforeAutospacing="0" w:afterAutospacing="0" w:line="0" w:lineRule="atLeast"/>
        <w:rPr>
          <w:color w:val="auto"/>
          <w:highlight w:val="none"/>
        </w:rPr>
      </w:pPr>
      <w:r>
        <w:rPr>
          <w:color w:val="auto"/>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738"/>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738"/>
        <w:jc w:val="center"/>
        <w:spacing w:beforeAutospacing="0" w:afterAutospacing="0" w:line="360" w:lineRule="auto"/>
        <w:rPr>
          <w:color w:val="auto"/>
          <w:highlight w:val="none"/>
        </w:rPr>
      </w:pPr>
      <w:r>
        <w:rPr>
          <w:color w:val="auto"/>
          <w:highlight w:val="none"/>
        </w:rPr>
        <w:t xml:space="preserve"> </w:t>
      </w:r>
      <w:r/>
    </w:p>
    <w:p>
      <w:pPr>
        <w:pStyle w:val="738"/>
        <w:ind w:firstLine="560"/>
        <w:jc w:val="both"/>
        <w:spacing w:beforeAutospacing="0" w:afterAutospacing="0" w:line="440" w:lineRule="exact"/>
        <w:rPr>
          <w:i/>
          <w:iCs w:val="0"/>
          <w:color w:val="auto"/>
          <w:sz w:val="28"/>
          <w:szCs w:val="28"/>
          <w:highlight w:val="none"/>
          <w:u w:val="single"/>
        </w:rPr>
      </w:pPr>
      <w:r>
        <w:rPr>
          <w:rFonts w:hint="eastAsia" w:ascii="宋体" w:hAnsi="宋体" w:cs="宋体"/>
          <w:i/>
          <w:iCs w:val="0"/>
          <w:color w:val="auto"/>
          <w:sz w:val="28"/>
          <w:szCs w:val="28"/>
          <w:highlight w:val="none"/>
          <w:u w:val="single"/>
        </w:rPr>
        <w:t xml:space="preserve">一、法人或者其他组织的营业执照等证明文件，自然人的身份证明</w:t>
      </w:r>
      <w:r/>
    </w:p>
    <w:p>
      <w:pPr>
        <w:ind w:firstLine="560"/>
        <w:jc w:val="left"/>
        <w:spacing w:line="440" w:lineRule="exact"/>
        <w:tabs>
          <w:tab w:val="left" w:pos="1331" w:leader="none"/>
        </w:tabs>
        <w:rPr>
          <w:i/>
          <w:color w:val="auto"/>
          <w:sz w:val="28"/>
          <w:szCs w:val="28"/>
          <w:highlight w:val="none"/>
          <w:u w:val="single"/>
        </w:rPr>
      </w:pPr>
      <w:r>
        <w:rPr>
          <w:rFonts w:hint="eastAsia" w:ascii="宋体" w:hAnsi="宋体" w:cs="宋体"/>
          <w:i/>
          <w:color w:val="auto"/>
          <w:sz w:val="28"/>
          <w:szCs w:val="28"/>
          <w:highlight w:val="none"/>
          <w:u w:val="single"/>
        </w:rPr>
        <w:t xml:space="preserve">二、</w:t>
      </w:r>
      <w:r>
        <w:rPr>
          <w:rFonts w:hint="eastAsia" w:ascii="宋体" w:hAnsi="宋体" w:cs="宋体"/>
          <w:i/>
          <w:color w:val="auto"/>
          <w:sz w:val="28"/>
          <w:szCs w:val="28"/>
          <w:highlight w:val="none"/>
          <w:u w:val="single"/>
          <w:lang w:eastAsia="zh-CN"/>
        </w:rPr>
        <w:t xml:space="preserve">上一年度或上上年度的财务状况报表</w:t>
      </w:r>
      <w:r>
        <w:rPr>
          <w:rFonts w:hint="eastAsia" w:ascii="宋体" w:hAnsi="宋体" w:cs="宋体"/>
          <w:i/>
          <w:color w:val="auto"/>
          <w:sz w:val="28"/>
          <w:szCs w:val="28"/>
          <w:highlight w:val="none"/>
          <w:u w:val="single"/>
        </w:rPr>
        <w:t xml:space="preserve">（至少提供资产负债表、利润表、现金流量表，投标人成立不满一年无需提供）</w:t>
      </w:r>
      <w:r/>
    </w:p>
    <w:p>
      <w:pPr>
        <w:pStyle w:val="738"/>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 xml:space="preserve">三、具备履行合同所必需的设备和专业技术能力的书面声明</w:t>
      </w:r>
      <w:r/>
    </w:p>
    <w:p>
      <w:pPr>
        <w:pStyle w:val="738"/>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38"/>
        <w:ind w:firstLine="560"/>
        <w:jc w:val="both"/>
        <w:spacing w:beforeAutospacing="0" w:afterAutospacing="0" w:line="440" w:lineRule="exact"/>
        <w:rPr>
          <w:i/>
          <w:iCs w:val="0"/>
          <w:color w:val="auto"/>
          <w:sz w:val="28"/>
          <w:szCs w:val="28"/>
          <w:highlight w:val="none"/>
          <w:u w:val="single"/>
        </w:rPr>
      </w:pPr>
      <w:r>
        <w:rPr>
          <w:rFonts w:hint="eastAsia" w:ascii="宋体" w:hAnsi="宋体" w:cs="宋体"/>
          <w:i/>
          <w:iCs w:val="0"/>
          <w:color w:val="auto"/>
          <w:sz w:val="28"/>
          <w:szCs w:val="28"/>
          <w:highlight w:val="none"/>
          <w:u w:val="single"/>
        </w:rPr>
        <w:t xml:space="preserve">五、参加政府采购活动前 3 年内在经营活动中没有重大违法记录的书面声明</w:t>
      </w:r>
      <w:r/>
    </w:p>
    <w:p>
      <w:pPr>
        <w:pStyle w:val="738"/>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 xml:space="preserve">六、投标人法定代表人身份证明和投标文件签署授权委托书（另附法定代表人和被授权人的身份证复印件）</w:t>
      </w:r>
      <w:r/>
    </w:p>
    <w:p>
      <w:pPr>
        <w:pStyle w:val="738"/>
        <w:ind w:firstLine="560"/>
        <w:jc w:val="both"/>
        <w:spacing w:beforeAutospacing="0" w:afterAutospacing="0" w:line="440" w:lineRule="exact"/>
        <w:rPr>
          <w:i/>
          <w:iCs w:val="0"/>
          <w:color w:val="auto"/>
          <w:sz w:val="28"/>
          <w:szCs w:val="28"/>
          <w:highlight w:val="none"/>
          <w:u w:val="single"/>
        </w:rPr>
      </w:pPr>
      <w:r>
        <w:rPr>
          <w:rFonts w:hint="eastAsia" w:ascii="宋体" w:hAnsi="宋体" w:cs="宋体"/>
          <w:i/>
          <w:iCs w:val="0"/>
          <w:color w:val="auto"/>
          <w:sz w:val="28"/>
          <w:szCs w:val="28"/>
          <w:highlight w:val="none"/>
          <w:u w:val="single"/>
        </w:rPr>
        <w:t xml:space="preserve">七、投标人为被授权人缴纳的社会养老保险证明</w:t>
      </w:r>
      <w:r/>
    </w:p>
    <w:p>
      <w:pPr>
        <w:pStyle w:val="738"/>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lang w:val="en-US" w:eastAsia="zh-CN"/>
        </w:rPr>
        <w:t xml:space="preserve">八</w:t>
      </w:r>
      <w:r>
        <w:rPr>
          <w:rFonts w:hint="eastAsia" w:ascii="宋体" w:hAnsi="宋体" w:cs="宋体"/>
          <w:i/>
          <w:iCs w:val="0"/>
          <w:color w:val="auto"/>
          <w:sz w:val="28"/>
          <w:szCs w:val="28"/>
          <w:highlight w:val="none"/>
          <w:u w:val="single"/>
        </w:rPr>
        <w:t xml:space="preserve">、特定资格要求的证明文件（如果本项目设置特定资格要求，则需要提供）</w:t>
      </w:r>
      <w:r/>
    </w:p>
    <w:p>
      <w:pPr>
        <w:pStyle w:val="738"/>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lang w:val="en-US" w:eastAsia="zh-CN"/>
        </w:rPr>
        <w:t xml:space="preserve">九</w:t>
      </w:r>
      <w:r>
        <w:rPr>
          <w:rFonts w:hint="eastAsia" w:ascii="宋体" w:hAnsi="宋体" w:cs="宋体"/>
          <w:i/>
          <w:iCs w:val="0"/>
          <w:color w:val="auto"/>
          <w:sz w:val="28"/>
          <w:szCs w:val="28"/>
          <w:highlight w:val="none"/>
          <w:u w:val="single"/>
        </w:rPr>
        <w:t xml:space="preserve">、投标函</w:t>
      </w:r>
      <w:r/>
    </w:p>
    <w:p>
      <w:pPr>
        <w:pStyle w:val="738"/>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lang w:val="en-US" w:eastAsia="zh-CN"/>
        </w:rPr>
        <w:t xml:space="preserve">十</w:t>
      </w:r>
      <w:r>
        <w:rPr>
          <w:rFonts w:hint="eastAsia" w:ascii="宋体" w:hAnsi="宋体" w:cs="宋体"/>
          <w:i/>
          <w:iCs w:val="0"/>
          <w:color w:val="auto"/>
          <w:sz w:val="28"/>
          <w:szCs w:val="28"/>
          <w:highlight w:val="none"/>
          <w:u w:val="single"/>
        </w:rPr>
        <w:t xml:space="preserve">、</w:t>
      </w:r>
      <w:r>
        <w:rPr>
          <w:rFonts w:hint="eastAsia" w:ascii="宋体" w:hAnsi="宋体" w:cs="宋体"/>
          <w:i/>
          <w:iCs w:val="0"/>
          <w:color w:val="auto"/>
          <w:sz w:val="28"/>
          <w:szCs w:val="28"/>
          <w:highlight w:val="none"/>
          <w:u w:val="single"/>
          <w:lang w:val="en-US" w:eastAsia="zh-CN"/>
        </w:rPr>
        <w:t xml:space="preserve">中小</w:t>
      </w:r>
      <w:r>
        <w:rPr>
          <w:rFonts w:hint="eastAsia" w:ascii="宋体" w:hAnsi="宋体" w:cs="宋体"/>
          <w:i/>
          <w:iCs w:val="0"/>
          <w:color w:val="auto"/>
          <w:sz w:val="28"/>
          <w:szCs w:val="28"/>
          <w:highlight w:val="none"/>
          <w:u w:val="single"/>
        </w:rPr>
        <w:t xml:space="preserve">企业声明函</w:t>
      </w:r>
      <w:r/>
    </w:p>
    <w:p>
      <w:pPr>
        <w:pStyle w:val="738"/>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 xml:space="preserve">十</w:t>
      </w:r>
      <w:r>
        <w:rPr>
          <w:rFonts w:hint="eastAsia" w:ascii="宋体" w:hAnsi="宋体" w:cs="宋体"/>
          <w:i/>
          <w:iCs w:val="0"/>
          <w:color w:val="auto"/>
          <w:sz w:val="28"/>
          <w:szCs w:val="28"/>
          <w:highlight w:val="none"/>
          <w:u w:val="single"/>
          <w:lang w:val="en-US" w:eastAsia="zh-CN"/>
        </w:rPr>
        <w:t xml:space="preserve">一</w:t>
      </w:r>
      <w:r>
        <w:rPr>
          <w:rFonts w:hint="eastAsia" w:ascii="宋体" w:hAnsi="宋体" w:cs="宋体"/>
          <w:i/>
          <w:iCs w:val="0"/>
          <w:color w:val="auto"/>
          <w:sz w:val="28"/>
          <w:szCs w:val="28"/>
          <w:highlight w:val="none"/>
          <w:u w:val="single"/>
        </w:rPr>
        <w:t xml:space="preserve">、残疾人福利性单位声明函</w:t>
      </w:r>
      <w:r/>
    </w:p>
    <w:p>
      <w:pPr>
        <w:pStyle w:val="738"/>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 xml:space="preserve">十</w:t>
      </w:r>
      <w:r>
        <w:rPr>
          <w:rFonts w:hint="eastAsia" w:ascii="宋体" w:hAnsi="宋体" w:cs="宋体"/>
          <w:i/>
          <w:iCs w:val="0"/>
          <w:color w:val="auto"/>
          <w:sz w:val="28"/>
          <w:szCs w:val="28"/>
          <w:highlight w:val="none"/>
          <w:u w:val="single"/>
          <w:lang w:val="en-US" w:eastAsia="zh-CN"/>
        </w:rPr>
        <w:t xml:space="preserve">二</w:t>
      </w:r>
      <w:r>
        <w:rPr>
          <w:rFonts w:hint="eastAsia" w:ascii="宋体" w:hAnsi="宋体" w:cs="宋体"/>
          <w:i/>
          <w:iCs w:val="0"/>
          <w:color w:val="auto"/>
          <w:sz w:val="28"/>
          <w:szCs w:val="28"/>
          <w:highlight w:val="none"/>
          <w:u w:val="single"/>
        </w:rPr>
        <w:t xml:space="preserve">、联合体协议</w:t>
      </w:r>
      <w:r/>
    </w:p>
    <w:p>
      <w:pPr>
        <w:pStyle w:val="738"/>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 xml:space="preserve">十</w:t>
      </w:r>
      <w:r>
        <w:rPr>
          <w:rFonts w:hint="eastAsia" w:ascii="宋体" w:hAnsi="宋体" w:cs="宋体"/>
          <w:i/>
          <w:iCs w:val="0"/>
          <w:color w:val="auto"/>
          <w:sz w:val="28"/>
          <w:szCs w:val="28"/>
          <w:highlight w:val="none"/>
          <w:u w:val="single"/>
          <w:lang w:val="en-US" w:eastAsia="zh-CN"/>
        </w:rPr>
        <w:t xml:space="preserve">三</w:t>
      </w:r>
      <w:r>
        <w:rPr>
          <w:rFonts w:hint="eastAsia" w:ascii="宋体" w:hAnsi="宋体" w:cs="宋体"/>
          <w:i/>
          <w:iCs w:val="0"/>
          <w:color w:val="auto"/>
          <w:sz w:val="28"/>
          <w:szCs w:val="28"/>
          <w:highlight w:val="none"/>
          <w:u w:val="single"/>
        </w:rPr>
        <w:t xml:space="preserve">、投标分项报价表</w:t>
      </w:r>
      <w:r/>
    </w:p>
    <w:p>
      <w:pPr>
        <w:pStyle w:val="738"/>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 xml:space="preserve">十</w:t>
      </w:r>
      <w:r>
        <w:rPr>
          <w:rFonts w:hint="eastAsia" w:ascii="宋体" w:hAnsi="宋体" w:cs="宋体"/>
          <w:i/>
          <w:iCs w:val="0"/>
          <w:color w:val="auto"/>
          <w:sz w:val="28"/>
          <w:szCs w:val="28"/>
          <w:highlight w:val="none"/>
          <w:u w:val="single"/>
          <w:lang w:val="en-US" w:eastAsia="zh-CN"/>
        </w:rPr>
        <w:t xml:space="preserve">四</w:t>
      </w:r>
      <w:r>
        <w:rPr>
          <w:rFonts w:hint="eastAsia" w:ascii="宋体" w:hAnsi="宋体" w:cs="宋体"/>
          <w:i/>
          <w:iCs w:val="0"/>
          <w:color w:val="auto"/>
          <w:sz w:val="28"/>
          <w:szCs w:val="28"/>
          <w:highlight w:val="none"/>
          <w:u w:val="single"/>
        </w:rPr>
        <w:t xml:space="preserve">、技术要求响应及偏离表</w:t>
      </w:r>
      <w:r/>
    </w:p>
    <w:p>
      <w:pPr>
        <w:pStyle w:val="738"/>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 xml:space="preserve">十</w:t>
      </w:r>
      <w:r>
        <w:rPr>
          <w:rFonts w:hint="eastAsia" w:ascii="宋体" w:hAnsi="宋体" w:cs="宋体"/>
          <w:i/>
          <w:iCs w:val="0"/>
          <w:color w:val="auto"/>
          <w:sz w:val="28"/>
          <w:szCs w:val="28"/>
          <w:highlight w:val="none"/>
          <w:u w:val="single"/>
          <w:lang w:val="en-US" w:eastAsia="zh-CN"/>
        </w:rPr>
        <w:t xml:space="preserve">五</w:t>
      </w:r>
      <w:r>
        <w:rPr>
          <w:rFonts w:hint="eastAsia" w:ascii="宋体" w:hAnsi="宋体" w:cs="宋体"/>
          <w:i/>
          <w:iCs w:val="0"/>
          <w:color w:val="auto"/>
          <w:sz w:val="28"/>
          <w:szCs w:val="28"/>
          <w:highlight w:val="none"/>
          <w:u w:val="single"/>
        </w:rPr>
        <w:t xml:space="preserve">、商务要求响应及偏离表</w:t>
      </w:r>
      <w:r/>
    </w:p>
    <w:p>
      <w:pPr>
        <w:pStyle w:val="738"/>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 xml:space="preserve">十</w:t>
      </w:r>
      <w:r>
        <w:rPr>
          <w:rFonts w:hint="eastAsia" w:ascii="宋体" w:hAnsi="宋体" w:cs="宋体"/>
          <w:i/>
          <w:iCs w:val="0"/>
          <w:color w:val="auto"/>
          <w:sz w:val="28"/>
          <w:szCs w:val="28"/>
          <w:highlight w:val="none"/>
          <w:u w:val="single"/>
          <w:lang w:val="en-US" w:eastAsia="zh-CN"/>
        </w:rPr>
        <w:t xml:space="preserve">六</w:t>
      </w:r>
      <w:r>
        <w:rPr>
          <w:rFonts w:hint="eastAsia" w:ascii="宋体" w:hAnsi="宋体" w:cs="宋体"/>
          <w:i/>
          <w:iCs w:val="0"/>
          <w:color w:val="auto"/>
          <w:sz w:val="28"/>
          <w:szCs w:val="28"/>
          <w:highlight w:val="none"/>
          <w:u w:val="single"/>
        </w:rPr>
        <w:t xml:space="preserve">、开标一览表</w:t>
      </w:r>
      <w:r/>
    </w:p>
    <w:p>
      <w:pPr>
        <w:pStyle w:val="738"/>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 xml:space="preserve">十</w:t>
      </w:r>
      <w:r>
        <w:rPr>
          <w:rFonts w:hint="eastAsia" w:ascii="宋体" w:hAnsi="宋体" w:cs="宋体"/>
          <w:i/>
          <w:iCs w:val="0"/>
          <w:color w:val="auto"/>
          <w:sz w:val="28"/>
          <w:szCs w:val="28"/>
          <w:highlight w:val="none"/>
          <w:u w:val="single"/>
          <w:lang w:val="en-US" w:eastAsia="zh-CN"/>
        </w:rPr>
        <w:t xml:space="preserve">七</w:t>
      </w:r>
      <w:r>
        <w:rPr>
          <w:rFonts w:hint="eastAsia" w:ascii="宋体" w:hAnsi="宋体" w:cs="宋体"/>
          <w:i/>
          <w:iCs w:val="0"/>
          <w:color w:val="auto"/>
          <w:sz w:val="28"/>
          <w:szCs w:val="28"/>
          <w:highlight w:val="none"/>
          <w:u w:val="single"/>
        </w:rPr>
        <w:t xml:space="preserve">、技术方案、服务承诺、培训承诺等</w:t>
      </w:r>
      <w:r/>
    </w:p>
    <w:p>
      <w:pPr>
        <w:pStyle w:val="738"/>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 xml:space="preserve">十</w:t>
      </w:r>
      <w:r>
        <w:rPr>
          <w:rFonts w:hint="eastAsia" w:ascii="宋体" w:hAnsi="宋体" w:cs="宋体"/>
          <w:i/>
          <w:iCs w:val="0"/>
          <w:color w:val="auto"/>
          <w:sz w:val="28"/>
          <w:szCs w:val="28"/>
          <w:highlight w:val="none"/>
          <w:u w:val="single"/>
          <w:lang w:val="en-US" w:eastAsia="zh-CN"/>
        </w:rPr>
        <w:t xml:space="preserve">八</w:t>
      </w:r>
      <w:r>
        <w:rPr>
          <w:rFonts w:hint="eastAsia" w:ascii="宋体" w:hAnsi="宋体" w:cs="宋体"/>
          <w:i/>
          <w:iCs w:val="0"/>
          <w:color w:val="auto"/>
          <w:sz w:val="28"/>
          <w:szCs w:val="28"/>
          <w:highlight w:val="none"/>
          <w:u w:val="single"/>
        </w:rPr>
        <w:t xml:space="preserve">、盐城市政府采购事前信用承诺书</w:t>
      </w:r>
      <w:r/>
    </w:p>
    <w:p>
      <w:pPr>
        <w:pStyle w:val="738"/>
        <w:ind w:firstLine="480"/>
        <w:jc w:val="both"/>
        <w:spacing w:beforeAutospacing="0" w:afterAutospacing="0" w:line="0" w:lineRule="atLeast"/>
        <w:rPr>
          <w:color w:val="auto"/>
          <w:highlight w:val="none"/>
        </w:rPr>
      </w:pPr>
      <w:r>
        <w:rPr>
          <w:color w:val="auto"/>
          <w:highlight w:val="none"/>
        </w:rPr>
        <w:t xml:space="preserve"> </w:t>
      </w:r>
      <w:r/>
    </w:p>
    <w:p>
      <w:pPr>
        <w:pStyle w:val="738"/>
        <w:ind w:firstLine="480"/>
        <w:jc w:val="both"/>
        <w:spacing w:beforeAutospacing="0" w:afterAutospacing="0" w:line="0" w:lineRule="atLeast"/>
        <w:rPr>
          <w:color w:val="auto"/>
          <w:highlight w:val="none"/>
        </w:rPr>
      </w:pPr>
      <w:r>
        <w:rPr>
          <w:color w:val="auto"/>
          <w:highlight w:val="none"/>
        </w:rPr>
        <w:t xml:space="preserve"> </w:t>
      </w:r>
      <w:r/>
    </w:p>
    <w:p>
      <w:pPr>
        <w:pStyle w:val="738"/>
        <w:ind w:firstLine="480"/>
        <w:jc w:val="both"/>
        <w:spacing w:beforeAutospacing="0" w:afterAutospacing="0" w:line="0" w:lineRule="atLeast"/>
        <w:rPr>
          <w:color w:val="auto"/>
          <w:highlight w:val="none"/>
        </w:rPr>
      </w:pPr>
      <w:r>
        <w:rPr>
          <w:color w:val="auto"/>
          <w:highlight w:val="none"/>
        </w:rPr>
        <w:t xml:space="preserve"> </w:t>
      </w:r>
      <w:r/>
    </w:p>
    <w:p>
      <w:pPr>
        <w:pStyle w:val="738"/>
        <w:ind w:firstLine="480"/>
        <w:jc w:val="both"/>
        <w:spacing w:beforeAutospacing="0" w:afterAutospacing="0" w:line="0" w:lineRule="atLeast"/>
        <w:rPr>
          <w:color w:val="auto"/>
          <w:highlight w:val="none"/>
        </w:rPr>
      </w:pPr>
      <w:r>
        <w:rPr>
          <w:color w:val="auto"/>
          <w:highlight w:val="none"/>
        </w:rPr>
        <w:t xml:space="preserve"> </w:t>
      </w:r>
      <w:r/>
    </w:p>
    <w:p>
      <w:pPr>
        <w:pStyle w:val="738"/>
        <w:ind w:firstLine="480"/>
        <w:jc w:val="both"/>
        <w:spacing w:beforeAutospacing="0" w:afterAutospacing="0" w:line="0" w:lineRule="atLeast"/>
        <w:rPr>
          <w:color w:val="auto"/>
          <w:highlight w:val="none"/>
        </w:rPr>
      </w:pPr>
      <w:r>
        <w:rPr>
          <w:color w:val="auto"/>
          <w:highlight w:val="none"/>
        </w:rPr>
        <w:t xml:space="preserve"> </w:t>
      </w:r>
      <w:r/>
    </w:p>
    <w:p>
      <w:pPr>
        <w:pStyle w:val="738"/>
        <w:ind w:firstLine="480"/>
        <w:jc w:val="both"/>
        <w:spacing w:beforeAutospacing="0" w:afterAutospacing="0" w:line="0" w:lineRule="atLeast"/>
        <w:rPr>
          <w:color w:val="auto"/>
          <w:highlight w:val="none"/>
        </w:rPr>
      </w:pPr>
      <w:r>
        <w:rPr>
          <w:color w:val="auto"/>
          <w:highlight w:val="none"/>
        </w:rPr>
        <w:t xml:space="preserve"> </w:t>
      </w:r>
      <w:r/>
    </w:p>
    <w:p>
      <w:pPr>
        <w:pStyle w:val="738"/>
        <w:ind w:firstLine="480"/>
        <w:jc w:val="both"/>
        <w:spacing w:beforeAutospacing="0" w:afterAutospacing="0" w:line="0" w:lineRule="atLeast"/>
        <w:rPr>
          <w:color w:val="auto"/>
          <w:highlight w:val="none"/>
        </w:rPr>
      </w:pPr>
      <w:r>
        <w:rPr>
          <w:color w:val="auto"/>
          <w:highlight w:val="none"/>
        </w:rPr>
        <w:t xml:space="preserve"> </w:t>
      </w:r>
      <w:r/>
    </w:p>
    <w:p>
      <w:pPr>
        <w:pStyle w:val="738"/>
        <w:ind w:firstLine="480"/>
        <w:jc w:val="both"/>
        <w:spacing w:beforeAutospacing="0" w:afterAutospacing="0" w:line="0" w:lineRule="atLeast"/>
        <w:rPr>
          <w:color w:val="auto"/>
          <w:highlight w:val="none"/>
        </w:rPr>
      </w:pPr>
      <w:r>
        <w:rPr>
          <w:color w:val="auto"/>
          <w:highlight w:val="none"/>
        </w:rPr>
        <w:t xml:space="preserve"> </w:t>
      </w:r>
      <w:r/>
    </w:p>
    <w:p>
      <w:pPr>
        <w:pStyle w:val="738"/>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738"/>
        <w:ind w:firstLine="480"/>
        <w:jc w:val="both"/>
        <w:spacing w:beforeAutospacing="0" w:afterAutospacing="0" w:line="0" w:lineRule="atLeast"/>
        <w:rPr>
          <w:color w:val="auto"/>
          <w:highlight w:val="none"/>
        </w:rPr>
      </w:pPr>
      <w:r>
        <w:rPr>
          <w:color w:val="auto"/>
          <w:highlight w:val="none"/>
        </w:rPr>
        <w:t xml:space="preserve"> </w:t>
      </w:r>
      <w:r/>
    </w:p>
    <w:p>
      <w:pPr>
        <w:pStyle w:val="738"/>
        <w:jc w:val="both"/>
        <w:spacing w:beforeAutospacing="0" w:afterAutospacing="0"/>
        <w:rPr>
          <w:rFonts w:hint="eastAsia" w:eastAsia="黑体"/>
          <w:color w:val="auto"/>
          <w:highlight w:val="none"/>
          <w:lang w:val="en-US" w:eastAsia="zh-CN"/>
        </w:rPr>
      </w:pPr>
      <w:r>
        <w:rPr>
          <w:rFonts w:hint="eastAsia" w:ascii="黑体" w:hAnsi="宋体" w:eastAsia="黑体" w:cs="黑体"/>
          <w:i/>
          <w:color w:val="auto"/>
          <w:sz w:val="32"/>
          <w:szCs w:val="32"/>
          <w:highlight w:val="none"/>
          <w:u w:val="single"/>
        </w:rPr>
        <w:t xml:space="preserve">二、上一年度的财务状况报</w:t>
      </w:r>
      <w:r>
        <w:rPr>
          <w:rFonts w:hint="eastAsia" w:ascii="黑体" w:hAnsi="宋体" w:eastAsia="黑体" w:cs="黑体"/>
          <w:i/>
          <w:color w:val="auto"/>
          <w:sz w:val="32"/>
          <w:szCs w:val="32"/>
          <w:highlight w:val="none"/>
          <w:u w:val="single"/>
          <w:lang w:val="en-US" w:eastAsia="zh-CN"/>
        </w:rPr>
        <w:t xml:space="preserve">告</w:t>
      </w:r>
      <w:r/>
    </w:p>
    <w:p>
      <w:pPr>
        <w:ind w:firstLine="480"/>
        <w:jc w:val="left"/>
        <w:tabs>
          <w:tab w:val="left" w:pos="1331" w:leader="none"/>
        </w:tabs>
        <w:rPr>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auto"/>
          <w:highlight w:val="none"/>
          <w:u w:val="none"/>
        </w:rPr>
        <w:t xml:space="preserve">投标人成立不满一年无需提供）</w:t>
      </w:r>
      <w:r/>
    </w:p>
    <w:p>
      <w:pPr>
        <w:pStyle w:val="738"/>
        <w:jc w:val="both"/>
        <w:spacing w:beforeAutospacing="0" w:afterAutospacing="0"/>
        <w:rPr>
          <w:color w:val="auto"/>
          <w:highlight w:val="none"/>
        </w:rPr>
      </w:pPr>
      <w:r>
        <w:rPr>
          <w:color w:val="auto"/>
          <w:highlight w:val="none"/>
        </w:rPr>
        <w:t xml:space="preserve"> </w:t>
      </w:r>
      <w:r/>
    </w:p>
    <w:p>
      <w:pPr>
        <w:pStyle w:val="738"/>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jc w:val="center"/>
        <w:rPr>
          <w:rFonts w:hint="eastAsia" w:ascii="黑体" w:eastAsia="黑体"/>
          <w:b/>
          <w:bCs/>
          <w:color w:val="auto"/>
          <w:sz w:val="32"/>
          <w:szCs w:val="32"/>
          <w:highlight w:val="none"/>
        </w:rPr>
      </w:pPr>
      <w:r>
        <w:rPr>
          <w:rFonts w:hint="eastAsia" w:ascii="黑体" w:hAnsi="Times New Roman" w:eastAsia="黑体"/>
          <w:b/>
          <w:bCs/>
          <w:color w:val="auto"/>
          <w:sz w:val="32"/>
          <w:szCs w:val="32"/>
          <w:highlight w:val="none"/>
        </w:rPr>
        <w:t xml:space="preserve">具有履</w:t>
      </w:r>
      <w:r>
        <w:rPr>
          <w:rFonts w:hint="eastAsia" w:ascii="黑体" w:eastAsia="黑体"/>
          <w:b/>
          <w:bCs/>
          <w:color w:val="auto"/>
          <w:sz w:val="32"/>
          <w:szCs w:val="32"/>
          <w:highlight w:val="none"/>
        </w:rPr>
        <w:t xml:space="preserve">行合同所必需的设备和专业技术能力的书面声明</w:t>
      </w:r>
      <w:r/>
    </w:p>
    <w:p>
      <w:pPr>
        <w:rPr>
          <w:rFonts w:hint="eastAsia" w:ascii="仿宋_GB2312" w:eastAsia="仿宋_GB2312"/>
          <w:color w:val="auto"/>
          <w:sz w:val="24"/>
          <w:highlight w:val="none"/>
        </w:rPr>
      </w:pPr>
      <w:r>
        <w:rPr>
          <w:rFonts w:hint="eastAsia" w:ascii="仿宋_GB2312" w:eastAsia="仿宋_GB2312"/>
          <w:color w:val="auto"/>
          <w:sz w:val="24"/>
          <w:highlight w:val="none"/>
        </w:rPr>
      </w:r>
      <w:r/>
    </w:p>
    <w:p>
      <w:pPr>
        <w:ind w:firstLine="48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主要设备有：</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主要专业技术能力有：</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60"/>
        <w:spacing w:line="6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60"/>
        <w:spacing w:line="6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6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288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法定代表人或被授权人（签字）：</w:t>
      </w:r>
      <w:r/>
    </w:p>
    <w:p>
      <w:pPr>
        <w:ind w:firstLine="1680"/>
        <w:spacing w:line="6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288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企业名称（加盖CA电子公章）：</w:t>
      </w:r>
      <w:r/>
    </w:p>
    <w:p>
      <w:pPr>
        <w:ind w:firstLine="168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jc w:val="right"/>
        <w:spacing w:line="60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pStyle w:val="738"/>
        <w:jc w:val="both"/>
        <w:spacing w:beforeAutospacing="0" w:afterAutospacing="0"/>
        <w:rPr>
          <w:color w:val="auto"/>
          <w:highlight w:val="none"/>
        </w:rPr>
      </w:pPr>
      <w:r>
        <w:rPr>
          <w:rFonts w:hint="eastAsia" w:ascii="黑体" w:hAnsi="宋体" w:eastAsia="黑体" w:cs="黑体"/>
          <w:i/>
          <w:color w:val="auto"/>
          <w:sz w:val="32"/>
          <w:szCs w:val="32"/>
          <w:highlight w:val="none"/>
          <w:u w:val="single"/>
        </w:rPr>
        <w:br w:type="page" w:clear="all"/>
      </w: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738"/>
        <w:ind w:firstLine="480"/>
        <w:jc w:val="both"/>
        <w:spacing w:beforeAutospacing="0" w:afterAutospacing="0"/>
        <w:rPr>
          <w:color w:val="auto"/>
          <w:highlight w:val="none"/>
        </w:rPr>
      </w:pPr>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738"/>
        <w:jc w:val="both"/>
        <w:spacing w:beforeAutospacing="0" w:afterAutospacing="0"/>
        <w:rPr>
          <w:color w:val="auto"/>
          <w:highlight w:val="none"/>
        </w:rPr>
      </w:pPr>
      <w:r>
        <w:rPr>
          <w:color w:val="auto"/>
          <w:highlight w:val="none"/>
        </w:rPr>
        <w:t xml:space="preserve"> </w:t>
      </w:r>
      <w:r/>
    </w:p>
    <w:p>
      <w:pPr>
        <w:pStyle w:val="738"/>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jc w:val="center"/>
        <w:spacing w:line="600" w:lineRule="exact"/>
        <w:rPr>
          <w:rFonts w:hint="eastAsia" w:ascii="黑体" w:eastAsia="黑体"/>
          <w:b/>
          <w:bCs/>
          <w:color w:val="auto"/>
          <w:sz w:val="32"/>
          <w:szCs w:val="32"/>
          <w:highlight w:val="none"/>
        </w:rPr>
      </w:pPr>
      <w:r/>
      <w:bookmarkStart w:id="181" w:name="_Toc120614284"/>
      <w:r>
        <w:rPr>
          <w:rFonts w:hint="eastAsia" w:ascii="黑体" w:eastAsia="黑体"/>
          <w:b/>
          <w:bCs/>
          <w:color w:val="auto"/>
          <w:sz w:val="32"/>
          <w:szCs w:val="32"/>
          <w:highlight w:val="none"/>
        </w:rPr>
        <w:t xml:space="preserve">参加政府采购活动前3年内在经营活动中</w:t>
      </w:r>
      <w:r/>
    </w:p>
    <w:p>
      <w:pPr>
        <w:jc w:val="center"/>
        <w:spacing w:line="600" w:lineRule="exact"/>
        <w:rPr>
          <w:rFonts w:hint="eastAsia" w:ascii="黑体" w:eastAsia="黑体"/>
          <w:b/>
          <w:bCs/>
          <w:color w:val="auto"/>
          <w:sz w:val="32"/>
          <w:szCs w:val="32"/>
          <w:highlight w:val="none"/>
        </w:rPr>
      </w:pPr>
      <w:r>
        <w:rPr>
          <w:rFonts w:hint="eastAsia" w:ascii="黑体" w:eastAsia="黑体"/>
          <w:b/>
          <w:bCs/>
          <w:color w:val="auto"/>
          <w:sz w:val="32"/>
          <w:szCs w:val="32"/>
          <w:highlight w:val="none"/>
        </w:rPr>
        <w:t xml:space="preserve">没有重大违法记录的书面声明</w:t>
      </w:r>
      <w:r/>
    </w:p>
    <w:p>
      <w:pPr>
        <w:spacing w:line="600" w:lineRule="exact"/>
        <w:rPr>
          <w:rFonts w:hint="eastAsia" w:ascii="仿宋_GB2312" w:eastAsia="仿宋_GB2312"/>
          <w:color w:val="auto"/>
          <w:sz w:val="24"/>
          <w:highlight w:val="none"/>
        </w:rPr>
      </w:pPr>
      <w:r>
        <w:rPr>
          <w:rFonts w:hint="eastAsia" w:ascii="仿宋_GB2312" w:eastAsia="仿宋_GB2312"/>
          <w:color w:val="auto"/>
          <w:sz w:val="24"/>
          <w:highlight w:val="none"/>
        </w:rPr>
      </w:r>
      <w:r/>
    </w:p>
    <w:p>
      <w:pPr>
        <w:ind w:firstLine="48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60"/>
        <w:spacing w:line="6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6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460"/>
        <w:spacing w:line="6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312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法定代表人或被授权人（签字）：</w:t>
      </w:r>
      <w:r/>
    </w:p>
    <w:p>
      <w:pPr>
        <w:ind w:firstLine="1680"/>
        <w:spacing w:line="6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312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企业名称（加盖CA电子公章）：</w:t>
      </w:r>
      <w:r/>
    </w:p>
    <w:p>
      <w:pPr>
        <w:ind w:firstLine="1680"/>
        <w:spacing w:line="6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1680"/>
        <w:jc w:val="right"/>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pStyle w:val="738"/>
        <w:jc w:val="both"/>
        <w:spacing w:beforeAutospacing="0" w:afterAutospacing="0"/>
        <w:rPr>
          <w:color w:val="auto"/>
          <w:highlight w:val="none"/>
        </w:rPr>
      </w:pPr>
      <w:r>
        <w:rPr>
          <w:color w:val="auto"/>
          <w:highlight w:val="none"/>
        </w:rPr>
      </w:r>
      <w:r/>
    </w:p>
    <w:p>
      <w:pPr>
        <w:pStyle w:val="738"/>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738"/>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六、投标人法定代表人身份证明和投标文件签署授权委托书（另附法定代表人和被授权人的身份证复印件）</w:t>
      </w:r>
      <w:r/>
    </w:p>
    <w:p>
      <w:pPr>
        <w:jc w:val="center"/>
        <w:spacing w:line="600" w:lineRule="exact"/>
        <w:rPr>
          <w:rFonts w:hint="eastAsia" w:ascii="黑体" w:eastAsia="黑体"/>
          <w:b/>
          <w:bCs/>
          <w:i/>
          <w:iCs/>
          <w:color w:val="auto"/>
          <w:sz w:val="32"/>
          <w:szCs w:val="32"/>
          <w:highlight w:val="none"/>
          <w:u w:val="single"/>
        </w:rPr>
        <w:outlineLvl w:val="1"/>
      </w:pPr>
      <w:r>
        <w:rPr>
          <w:rFonts w:hint="eastAsia" w:ascii="黑体" w:eastAsia="黑体"/>
          <w:b/>
          <w:bCs/>
          <w:i/>
          <w:iCs/>
          <w:color w:val="auto"/>
          <w:sz w:val="32"/>
          <w:szCs w:val="32"/>
          <w:highlight w:val="none"/>
          <w:u w:val="single"/>
        </w:rPr>
        <w:t xml:space="preserve">法定代表人身份证明书</w:t>
      </w:r>
      <w:r/>
    </w:p>
    <w:p>
      <w:pPr>
        <w:jc w:val="center"/>
        <w:spacing w:line="600" w:lineRule="exact"/>
        <w:rPr>
          <w:rFonts w:hint="eastAsia" w:ascii="黑体" w:eastAsia="黑体"/>
          <w:b/>
          <w:color w:val="auto"/>
          <w:sz w:val="28"/>
          <w:highlight w:val="none"/>
        </w:rPr>
      </w:pPr>
      <w:r>
        <w:rPr>
          <w:rFonts w:hint="eastAsia" w:ascii="黑体" w:eastAsia="黑体"/>
          <w:b/>
          <w:color w:val="auto"/>
          <w:sz w:val="28"/>
          <w:highlight w:val="none"/>
        </w:rPr>
      </w:r>
      <w:r/>
    </w:p>
    <w:p>
      <w:pPr>
        <w:spacing w:line="60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：（采购人名称）</w:t>
      </w:r>
      <w:r/>
    </w:p>
    <w:p>
      <w:pPr>
        <w:ind w:firstLine="480"/>
        <w:spacing w:line="60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  （法定代表人姓名） </w:t>
      </w:r>
      <w:r>
        <w:rPr>
          <w:rFonts w:hint="eastAsia" w:ascii="宋体" w:hAnsi="宋体" w:cs="宋体"/>
          <w:color w:val="auto"/>
          <w:sz w:val="24"/>
          <w:highlight w:val="none"/>
        </w:rPr>
        <w:t xml:space="preserve">在</w:t>
      </w:r>
      <w:r>
        <w:rPr>
          <w:rFonts w:hint="eastAsia" w:ascii="宋体" w:hAnsi="宋体" w:cs="宋体"/>
          <w:color w:val="auto"/>
          <w:sz w:val="24"/>
          <w:highlight w:val="none"/>
          <w:u w:val="single"/>
        </w:rPr>
        <w:t xml:space="preserve">     （投标人名称）     </w:t>
      </w:r>
      <w:r>
        <w:rPr>
          <w:rFonts w:hint="eastAsia" w:ascii="宋体" w:hAnsi="宋体" w:cs="宋体"/>
          <w:color w:val="auto"/>
          <w:sz w:val="24"/>
          <w:highlight w:val="none"/>
        </w:rPr>
        <w:t xml:space="preserve"> 任</w:t>
      </w:r>
      <w:r>
        <w:rPr>
          <w:rFonts w:hint="eastAsia" w:ascii="宋体" w:hAnsi="宋体" w:cs="宋体"/>
          <w:color w:val="auto"/>
          <w:sz w:val="24"/>
          <w:highlight w:val="none"/>
          <w:u w:val="single"/>
        </w:rPr>
        <w:t xml:space="preserve">（职务名称）</w:t>
      </w:r>
      <w:r>
        <w:rPr>
          <w:rFonts w:hint="eastAsia" w:ascii="宋体" w:hAnsi="宋体" w:cs="宋体"/>
          <w:color w:val="auto"/>
          <w:sz w:val="24"/>
          <w:highlight w:val="none"/>
        </w:rPr>
        <w:t xml:space="preserve">职务，是</w:t>
      </w:r>
      <w:r>
        <w:rPr>
          <w:rFonts w:hint="eastAsia" w:ascii="宋体" w:hAnsi="宋体" w:cs="宋体"/>
          <w:color w:val="auto"/>
          <w:sz w:val="24"/>
          <w:highlight w:val="none"/>
          <w:u w:val="single"/>
        </w:rPr>
        <w:t xml:space="preserve">        （投标人名称）      </w:t>
      </w:r>
      <w:r>
        <w:rPr>
          <w:rFonts w:hint="eastAsia" w:ascii="宋体" w:hAnsi="宋体" w:cs="宋体"/>
          <w:color w:val="auto"/>
          <w:sz w:val="24"/>
          <w:highlight w:val="none"/>
        </w:rPr>
        <w:t xml:space="preserve">的法定代表人，联系电话（手机号码）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spacing w:line="6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特此证明。</w:t>
      </w:r>
      <w:r/>
    </w:p>
    <w:p>
      <w:pPr>
        <w:ind w:firstLine="456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企业名称（加盖CA电子公章）：      </w:t>
      </w:r>
      <w:r/>
    </w:p>
    <w:p>
      <w:pPr>
        <w:ind w:firstLine="1200"/>
        <w:spacing w:line="6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2126"/>
        <w:jc w:val="right"/>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 </w:t>
      </w:r>
      <w:r/>
    </w:p>
    <w:p>
      <w:pPr>
        <w:jc w:val="left"/>
        <w:spacing w:line="60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left"/>
        <w:spacing w:line="6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（附：法定代表人身份证正反面复印件或扫描件）</w:t>
      </w:r>
      <w:r/>
    </w:p>
    <w:p>
      <w:pPr>
        <w:jc w:val="left"/>
        <w:rPr>
          <w:rFonts w:ascii="仿宋_GB2312" w:eastAsia="仿宋_GB2312"/>
          <w:color w:val="auto"/>
          <w:sz w:val="24"/>
          <w:highlight w:val="none"/>
        </w:rPr>
      </w:pPr>
      <w:r>
        <w:rPr>
          <w:rFonts w:ascii="仿宋_GB2312" w:eastAsia="仿宋_GB2312"/>
          <w:color w:val="auto"/>
          <w:sz w:val="24"/>
          <w:highlight w:val="none"/>
        </w:rPr>
      </w:r>
      <w:r/>
    </w:p>
    <w:p>
      <w:pPr>
        <w:jc w:val="center"/>
        <w:spacing w:line="400" w:lineRule="exact"/>
        <w:rPr>
          <w:rFonts w:hint="eastAsia" w:ascii="黑体" w:eastAsia="黑体"/>
          <w:i/>
          <w:iCs/>
          <w:color w:val="auto"/>
          <w:sz w:val="28"/>
          <w:highlight w:val="none"/>
          <w:u w:val="single"/>
        </w:rPr>
      </w:pPr>
      <w:r>
        <w:rPr>
          <w:rFonts w:ascii="仿宋_GB2312" w:eastAsia="仿宋_GB2312"/>
          <w:color w:val="auto"/>
          <w:sz w:val="24"/>
          <w:highlight w:val="none"/>
        </w:rPr>
        <w:br w:type="page" w:clear="all"/>
      </w:r>
      <w:r>
        <w:rPr>
          <w:rFonts w:hint="eastAsia" w:ascii="黑体" w:hAnsi="Times New Roman" w:eastAsia="黑体"/>
          <w:b/>
          <w:bCs/>
          <w:i/>
          <w:iCs/>
          <w:color w:val="auto"/>
          <w:sz w:val="32"/>
          <w:szCs w:val="32"/>
          <w:highlight w:val="none"/>
          <w:u w:val="single"/>
        </w:rPr>
        <w:t xml:space="preserve">授权委托</w:t>
      </w:r>
      <w:r>
        <w:rPr>
          <w:rFonts w:hint="eastAsia" w:ascii="黑体" w:eastAsia="黑体"/>
          <w:b/>
          <w:bCs/>
          <w:i/>
          <w:iCs/>
          <w:color w:val="auto"/>
          <w:sz w:val="32"/>
          <w:szCs w:val="32"/>
          <w:highlight w:val="none"/>
          <w:u w:val="single"/>
        </w:rPr>
        <w:t xml:space="preserve">书</w:t>
      </w:r>
      <w:r/>
    </w:p>
    <w:p>
      <w:pPr>
        <w:ind w:firstLine="480"/>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本授权书声明：我</w:t>
      </w:r>
      <w:r>
        <w:rPr>
          <w:rFonts w:hint="eastAsia" w:ascii="宋体" w:hAnsi="宋体" w:cs="宋体"/>
          <w:color w:val="auto"/>
          <w:sz w:val="24"/>
          <w:highlight w:val="none"/>
          <w:u w:val="single"/>
        </w:rPr>
        <w:t xml:space="preserve">       （姓名）      </w:t>
      </w:r>
      <w:r>
        <w:rPr>
          <w:rFonts w:hint="eastAsia" w:ascii="宋体" w:hAnsi="宋体" w:cs="宋体"/>
          <w:color w:val="auto"/>
          <w:sz w:val="24"/>
          <w:highlight w:val="none"/>
        </w:rPr>
        <w:t xml:space="preserve">系</w:t>
      </w:r>
      <w:r>
        <w:rPr>
          <w:rFonts w:hint="eastAsia" w:ascii="宋体" w:hAnsi="宋体" w:cs="宋体"/>
          <w:color w:val="auto"/>
          <w:sz w:val="24"/>
          <w:highlight w:val="none"/>
          <w:u w:val="single"/>
        </w:rPr>
        <w:t xml:space="preserve">      （投标人名称）        </w:t>
      </w:r>
      <w:r>
        <w:rPr>
          <w:rFonts w:hint="eastAsia" w:ascii="宋体" w:hAnsi="宋体" w:cs="宋体"/>
          <w:color w:val="auto"/>
          <w:sz w:val="24"/>
          <w:highlight w:val="none"/>
        </w:rPr>
        <w:t xml:space="preserve"> 的法定代表人，现授权____________（投标人名称）的________________（被授权人的姓名）为我单位就JSZC-</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号项目的投标文件的法定代表人授权委托代理，，我承认被授权人全权代表我所签署的本项目的投标文件的内容。以本单位名义全权处理一切与该项目采购有关的事务。</w:t>
      </w:r>
      <w:r/>
    </w:p>
    <w:p>
      <w:pPr>
        <w:pStyle w:val="900"/>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本授权书于______年____月____日起生效，特此声明。</w:t>
      </w:r>
      <w:r/>
    </w:p>
    <w:p>
      <w:pPr>
        <w:pStyle w:val="900"/>
        <w:ind w:firstLine="0"/>
        <w:spacing w:line="48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w:t>
      </w:r>
      <w:r>
        <w:rPr>
          <w:rFonts w:hint="eastAsia" w:ascii="宋体" w:hAnsi="宋体" w:cs="宋体"/>
          <w:color w:val="auto"/>
          <w:sz w:val="24"/>
          <w:highlight w:val="none"/>
        </w:rPr>
        <w:t xml:space="preserve">代理人</w:t>
      </w:r>
      <w:r>
        <w:rPr>
          <w:rFonts w:hint="eastAsia" w:ascii="宋体" w:hAnsi="宋体" w:cs="宋体"/>
          <w:color w:val="auto"/>
          <w:sz w:val="24"/>
          <w:szCs w:val="24"/>
          <w:highlight w:val="none"/>
        </w:rPr>
        <w:t xml:space="preserve">被授权人身份证号码：</w:t>
      </w:r>
      <w:r>
        <w:rPr>
          <w:rFonts w:hint="eastAsia" w:ascii="宋体" w:hAnsi="宋体" w:cs="宋体"/>
          <w:color w:val="auto"/>
          <w:sz w:val="24"/>
          <w:szCs w:val="24"/>
          <w:highlight w:val="none"/>
          <w:u w:val="single"/>
        </w:rPr>
        <w:t xml:space="preserve">                              </w:t>
      </w:r>
      <w:r/>
    </w:p>
    <w:p>
      <w:pPr>
        <w:pStyle w:val="900"/>
        <w:ind w:firstLine="0"/>
        <w:spacing w:line="48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被授权人联系电话：（手机）</w:t>
      </w:r>
      <w:r>
        <w:rPr>
          <w:rFonts w:hint="eastAsia" w:ascii="宋体" w:hAnsi="宋体" w:cs="宋体"/>
          <w:color w:val="auto"/>
          <w:sz w:val="24"/>
          <w:szCs w:val="24"/>
          <w:highlight w:val="none"/>
          <w:u w:val="single"/>
        </w:rPr>
        <w:t xml:space="preserve">                          </w:t>
      </w:r>
      <w:r/>
    </w:p>
    <w:p>
      <w:pPr>
        <w:pStyle w:val="900"/>
        <w:ind w:firstLine="120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授权单位名称：</w:t>
      </w:r>
      <w:r>
        <w:rPr>
          <w:rFonts w:hint="eastAsia" w:ascii="宋体" w:hAnsi="宋体" w:cs="宋体"/>
          <w:color w:val="auto"/>
          <w:sz w:val="24"/>
          <w:szCs w:val="24"/>
          <w:highlight w:val="none"/>
          <w:u w:val="single"/>
        </w:rPr>
        <w:t xml:space="preserve">（加盖CA电子公章）</w:t>
      </w:r>
      <w:r/>
    </w:p>
    <w:p>
      <w:pPr>
        <w:pStyle w:val="900"/>
        <w:ind w:firstLine="480"/>
        <w:spacing w:line="48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单位地址：</w:t>
      </w:r>
      <w:r>
        <w:rPr>
          <w:rFonts w:hint="eastAsia" w:ascii="宋体" w:hAnsi="宋体" w:cs="宋体"/>
          <w:color w:val="auto"/>
          <w:sz w:val="24"/>
          <w:szCs w:val="24"/>
          <w:highlight w:val="none"/>
          <w:u w:val="single"/>
        </w:rPr>
        <w:t xml:space="preserve">                                         </w:t>
      </w:r>
      <w:r/>
    </w:p>
    <w:p>
      <w:pPr>
        <w:pStyle w:val="900"/>
        <w:ind w:firstLine="480"/>
        <w:spacing w:line="48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      法定代表人：</w:t>
      </w:r>
      <w:r>
        <w:rPr>
          <w:rFonts w:hint="eastAsia" w:ascii="宋体" w:hAnsi="宋体" w:cs="宋体"/>
          <w:color w:val="auto"/>
          <w:sz w:val="24"/>
          <w:highlight w:val="none"/>
          <w:u w:val="single"/>
        </w:rPr>
        <w:t xml:space="preserve">  </w:t>
      </w:r>
      <w:r>
        <w:rPr>
          <w:rFonts w:hint="eastAsia" w:ascii="宋体" w:hAnsi="宋体" w:cs="宋体"/>
          <w:color w:val="auto"/>
          <w:sz w:val="24"/>
          <w:szCs w:val="24"/>
          <w:highlight w:val="none"/>
          <w:u w:val="single"/>
        </w:rPr>
        <w:t xml:space="preserve">（加盖CA电子公章）</w:t>
      </w:r>
      <w:r/>
    </w:p>
    <w:p>
      <w:pPr>
        <w:pStyle w:val="900"/>
        <w:ind w:firstLine="120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w:t>
      </w:r>
      <w:r>
        <w:rPr>
          <w:rFonts w:hint="eastAsia" w:ascii="宋体" w:hAnsi="宋体" w:cs="宋体"/>
          <w:color w:val="auto"/>
          <w:sz w:val="24"/>
          <w:szCs w:val="24"/>
          <w:highlight w:val="none"/>
          <w:u w:val="single"/>
        </w:rPr>
        <w:t xml:space="preserve">                                         </w:t>
      </w:r>
      <w:r/>
    </w:p>
    <w:p>
      <w:pPr>
        <w:jc w:val="left"/>
        <w:spacing w:line="48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（附：被授权人身份证正反面复印件或扫描件）</w:t>
      </w:r>
      <w:r/>
    </w:p>
    <w:p>
      <w:pPr>
        <w:pStyle w:val="717"/>
        <w:spacing w:line="480" w:lineRule="auto"/>
        <w:rPr>
          <w:rFonts w:hint="eastAsia" w:ascii="宋体" w:hAnsi="宋体" w:cs="宋体"/>
          <w:i/>
          <w:color w:val="auto"/>
          <w:sz w:val="24"/>
          <w:highlight w:val="none"/>
          <w:u w:val="single"/>
        </w:rPr>
      </w:pPr>
      <w:r>
        <w:rPr>
          <w:rFonts w:hint="eastAsia" w:ascii="宋体" w:hAnsi="宋体" w:cs="宋体"/>
          <w:i/>
          <w:color w:val="auto"/>
          <w:sz w:val="24"/>
          <w:highlight w:val="none"/>
          <w:u w:val="single"/>
        </w:rPr>
      </w:r>
      <w:r/>
    </w:p>
    <w:p>
      <w:pPr>
        <w:spacing w:line="48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注：</w:t>
      </w:r>
      <w:r>
        <w:rPr>
          <w:rFonts w:hint="eastAsia" w:ascii="宋体" w:hAnsi="宋体" w:cs="宋体"/>
          <w:color w:val="auto"/>
          <w:sz w:val="24"/>
          <w:highlight w:val="none"/>
        </w:rPr>
        <w:t xml:space="preserve">被授权人须为本单位正式职工并提供投标人为被授权人缴纳的社会养老保险证明。</w:t>
      </w: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rPr>
        <w:br w:type="page" w:clear="all"/>
      </w:r>
      <w:r>
        <w:rPr>
          <w:rFonts w:hint="eastAsia" w:ascii="黑体" w:hAnsi="宋体" w:eastAsia="黑体" w:cs="黑体"/>
          <w:i/>
          <w:color w:val="auto"/>
          <w:sz w:val="32"/>
          <w:szCs w:val="32"/>
          <w:highlight w:val="none"/>
        </w:rPr>
        <w:t xml:space="preserve">七、</w:t>
      </w:r>
      <w:r>
        <w:rPr>
          <w:rFonts w:hint="eastAsia" w:ascii="黑体" w:hAnsi="宋体" w:eastAsia="黑体" w:cs="黑体"/>
          <w:i/>
          <w:color w:val="auto"/>
          <w:sz w:val="32"/>
          <w:szCs w:val="32"/>
          <w:highlight w:val="none"/>
          <w:u w:val="single"/>
        </w:rPr>
        <w:t xml:space="preserve">投标人为被授权人缴纳的社会养老保险证明</w:t>
      </w:r>
      <w:r/>
    </w:p>
    <w:p>
      <w:pPr>
        <w:pStyle w:val="738"/>
        <w:jc w:val="both"/>
        <w:spacing w:beforeAutospacing="0" w:afterAutospacing="0"/>
        <w:rPr>
          <w:color w:val="auto"/>
          <w:highlight w:val="none"/>
        </w:rPr>
      </w:pPr>
      <w:r/>
      <w:bookmarkStart w:id="182" w:name="_格式3__银行出具的资信证明"/>
      <w:r/>
      <w:bookmarkStart w:id="183" w:name="_Hlt26671380"/>
      <w:r/>
      <w:bookmarkStart w:id="184" w:name="_Hlt26955070"/>
      <w:r>
        <w:rPr>
          <w:rFonts w:hint="eastAsia" w:ascii="黑体" w:hAnsi="宋体" w:eastAsia="黑体" w:cs="黑体"/>
          <w:i/>
          <w:color w:val="auto"/>
          <w:sz w:val="32"/>
          <w:szCs w:val="32"/>
          <w:highlight w:val="none"/>
          <w:u w:val="single"/>
          <w:lang w:val="en-US" w:eastAsia="zh-CN"/>
        </w:rPr>
        <w:t xml:space="preserve">八</w:t>
      </w:r>
      <w:r>
        <w:rPr>
          <w:rFonts w:hint="eastAsia" w:ascii="黑体" w:hAnsi="宋体" w:eastAsia="黑体" w:cs="黑体"/>
          <w:i/>
          <w:color w:val="auto"/>
          <w:sz w:val="32"/>
          <w:szCs w:val="32"/>
          <w:highlight w:val="none"/>
          <w:u w:val="single"/>
        </w:rPr>
        <w:t xml:space="preserve">、特定资格要求的证明文件</w:t>
      </w:r>
      <w:r/>
    </w:p>
    <w:p>
      <w:pPr>
        <w:pStyle w:val="738"/>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738"/>
        <w:ind w:firstLine="3390"/>
        <w:jc w:val="both"/>
        <w:keepLines/>
        <w:keepNext/>
        <w:pageBreakBefore w:val="0"/>
        <w:spacing w:beforeAutospacing="0" w:afterAutospacing="0" w:line="360" w:lineRule="auto"/>
        <w:widowControl w:val="off"/>
        <w:rPr>
          <w:color w:val="auto"/>
          <w:highlight w:val="none"/>
        </w:rPr>
      </w:pPr>
      <w:r>
        <w:rPr>
          <w:rFonts w:hint="eastAsia" w:ascii="宋体" w:hAnsi="宋体" w:eastAsia="宋体" w:cs="宋体"/>
          <w:b/>
          <w:color w:val="auto"/>
          <w:highlight w:val="none"/>
        </w:rPr>
        <w:t xml:space="preserve"> </w:t>
      </w:r>
      <w:r>
        <w:rPr>
          <w:rFonts w:hint="eastAsia" w:ascii="黑体" w:hAnsi="宋体" w:eastAsia="黑体" w:cs="黑体"/>
          <w:b/>
          <w:i/>
          <w:color w:val="auto"/>
          <w:sz w:val="32"/>
          <w:szCs w:val="32"/>
          <w:highlight w:val="none"/>
          <w:u w:val="single"/>
          <w:lang w:val="en-US" w:eastAsia="zh-CN"/>
        </w:rPr>
        <w:t xml:space="preserve">九</w:t>
      </w:r>
      <w:r>
        <w:rPr>
          <w:rFonts w:hint="eastAsia" w:ascii="黑体" w:hAnsi="宋体" w:eastAsia="黑体" w:cs="黑体"/>
          <w:b/>
          <w:i/>
          <w:color w:val="auto"/>
          <w:sz w:val="32"/>
          <w:szCs w:val="32"/>
          <w:highlight w:val="none"/>
          <w:u w:val="single"/>
        </w:rPr>
        <w:t xml:space="preserve">、投标函</w:t>
      </w:r>
      <w:r/>
    </w:p>
    <w:p>
      <w:pPr>
        <w:pStyle w:val="897"/>
        <w:ind w:firstLine="0"/>
        <w:spacing w:before="0" w:after="0" w:line="420" w:lineRule="exact"/>
        <w:rPr>
          <w:rFonts w:ascii="宋体" w:hAnsi="宋体"/>
          <w:color w:val="auto"/>
          <w:szCs w:val="21"/>
          <w:highlight w:val="none"/>
          <w:u w:val="single"/>
        </w:rPr>
      </w:pPr>
      <w:r>
        <w:rPr>
          <w:rFonts w:hint="eastAsia" w:ascii="宋体" w:hAnsi="宋体"/>
          <w:color w:val="auto"/>
          <w:szCs w:val="21"/>
          <w:highlight w:val="none"/>
        </w:rPr>
        <w:t xml:space="preserve">致：</w:t>
      </w:r>
      <w:r>
        <w:rPr>
          <w:rFonts w:hint="eastAsia" w:ascii="宋体" w:hAnsi="宋体"/>
          <w:color w:val="auto"/>
          <w:szCs w:val="21"/>
          <w:highlight w:val="none"/>
          <w:u w:val="single"/>
        </w:rPr>
        <w:t xml:space="preserve">                </w:t>
      </w:r>
      <w:r/>
    </w:p>
    <w:p>
      <w:pPr>
        <w:pStyle w:val="897"/>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根据贵方的</w:t>
      </w:r>
      <w:r>
        <w:rPr>
          <w:rFonts w:hint="eastAsia" w:ascii="宋体" w:hAnsi="宋体"/>
          <w:color w:val="auto"/>
          <w:szCs w:val="21"/>
          <w:highlight w:val="none"/>
          <w:lang w:eastAsia="zh-CN"/>
        </w:rPr>
        <w:t xml:space="preserve">JSZC-320981-CCGC-G2025-0048</w:t>
      </w:r>
      <w:r>
        <w:rPr>
          <w:rFonts w:hint="eastAsia" w:ascii="宋体" w:hAnsi="宋体"/>
          <w:color w:val="auto"/>
          <w:szCs w:val="21"/>
          <w:highlight w:val="none"/>
        </w:rPr>
        <w:t xml:space="preserve">号招标文件，正式授权下述签字人______(姓名)代表我方______________（投标人的名称），全权处理本次项目投标的有关事宜。</w:t>
      </w:r>
      <w:r/>
    </w:p>
    <w:p>
      <w:pPr>
        <w:pStyle w:val="897"/>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据此函，__________签字人兹宣布同意如下：</w:t>
      </w:r>
      <w:r/>
    </w:p>
    <w:p>
      <w:pPr>
        <w:pStyle w:val="897"/>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1.按招标文件规定的各项要求，向买方提供所需服务（包含与服务相关的货物）。</w:t>
      </w:r>
      <w:r/>
    </w:p>
    <w:p>
      <w:pPr>
        <w:pStyle w:val="897"/>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2.我们完全理解贵方不一定将合同授予最低报价的投标人。</w:t>
      </w:r>
      <w:r/>
    </w:p>
    <w:p>
      <w:pPr>
        <w:pStyle w:val="897"/>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3.我们已详细审核全部招标文件及其有效补充文件，我们知道必须放弃提出含糊不清或误解问题的权利。</w:t>
      </w:r>
      <w:r/>
    </w:p>
    <w:p>
      <w:pPr>
        <w:pStyle w:val="897"/>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4.我们同意从规定的开标日期起遵循本投标文件，并在规定的投标有效期期满之前均具有约束力。</w:t>
      </w:r>
      <w:r/>
    </w:p>
    <w:p>
      <w:pPr>
        <w:pStyle w:val="897"/>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5.同意向贵方提供贵方可能另外要求的与投标有关的任何证据或资料，并保证我方已提供和将要提供的文件是真实的、准确的。</w:t>
      </w:r>
      <w:r/>
    </w:p>
    <w:p>
      <w:pPr>
        <w:pStyle w:val="897"/>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6.一旦我方中标,我方将根据招标文件的规定，严格履行合同的责任和义务,并保证在招标文件规定的时间完成项目，交付买方验收、使用。</w:t>
      </w:r>
      <w:r/>
    </w:p>
    <w:p>
      <w:pPr>
        <w:pStyle w:val="897"/>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7.与本投标有关的正式通讯地址为：</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地址：</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邮编：</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电话：</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传真：</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投标人开户行：</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账户：                                      </w:t>
      </w:r>
      <w:r/>
    </w:p>
    <w:p>
      <w:pPr>
        <w:ind w:firstLine="16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法定代表人或被授权人（签字）：</w:t>
      </w:r>
      <w:r>
        <w:rPr>
          <w:rFonts w:hint="eastAsia" w:ascii="宋体" w:hAnsi="宋体" w:cs="宋体"/>
          <w:color w:val="auto"/>
          <w:sz w:val="24"/>
          <w:highlight w:val="none"/>
          <w:u w:val="single"/>
        </w:rPr>
        <w:t xml:space="preserve">              </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16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企业名称（加盖CA电子公章）：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right"/>
        <w:spacing w:line="480" w:lineRule="exact"/>
        <w:rPr>
          <w:rFonts w:hint="eastAsia" w:ascii="仿宋_GB2312" w:eastAsia="仿宋_GB2312"/>
          <w:color w:val="auto"/>
          <w:sz w:val="24"/>
          <w:highlight w:val="none"/>
        </w:rPr>
        <w:outlineLvl w:val="1"/>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rPr>
          <w:rFonts w:hint="eastAsia" w:ascii="仿宋_GB2312" w:eastAsia="仿宋_GB2312"/>
          <w:color w:val="auto"/>
          <w:sz w:val="24"/>
          <w:highlight w:val="none"/>
        </w:rPr>
        <w:t xml:space="preserve"> </w:t>
      </w:r>
      <w:r/>
    </w:p>
    <w:p>
      <w:pPr>
        <w:pStyle w:val="738"/>
        <w:ind w:firstLine="240"/>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br w:type="page" w:clear="all"/>
      </w:r>
      <w:r/>
    </w:p>
    <w:p>
      <w:pPr>
        <w:pStyle w:val="738"/>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lang w:val="en-US" w:eastAsia="zh-CN"/>
        </w:rPr>
        <w:t xml:space="preserve">十</w:t>
      </w:r>
      <w:r>
        <w:rPr>
          <w:rFonts w:hint="eastAsia" w:ascii="黑体" w:hAnsi="宋体" w:eastAsia="黑体" w:cs="黑体"/>
          <w:b/>
          <w:color w:val="auto"/>
          <w:sz w:val="32"/>
          <w:szCs w:val="32"/>
          <w:highlight w:val="none"/>
        </w:rPr>
        <w:t xml:space="preserve">、</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w:t>
      </w:r>
      <w:r>
        <w:rPr>
          <w:rFonts w:hint="eastAsia" w:ascii="黑体" w:hAnsi="宋体" w:eastAsia="黑体" w:cs="黑体"/>
          <w:b/>
          <w:color w:val="auto"/>
          <w:sz w:val="32"/>
          <w:szCs w:val="32"/>
          <w:highlight w:val="none"/>
          <w:lang w:val="en-US" w:eastAsia="zh-CN"/>
        </w:rPr>
        <w:t xml:space="preserve">货物</w:t>
      </w:r>
      <w:r>
        <w:rPr>
          <w:rFonts w:hint="eastAsia" w:ascii="黑体" w:hAnsi="宋体" w:eastAsia="黑体" w:cs="黑体"/>
          <w:b/>
          <w:color w:val="auto"/>
          <w:sz w:val="32"/>
          <w:szCs w:val="32"/>
          <w:highlight w:val="none"/>
        </w:rPr>
        <w:t xml:space="preserve">）（分包号：**）</w:t>
      </w:r>
      <w:r/>
    </w:p>
    <w:p>
      <w:pPr>
        <w:ind w:firstLine="480"/>
        <w:jc w:val="both"/>
        <w:spacing w:line="500" w:lineRule="exact"/>
        <w:rPr>
          <w:rFonts w:hint="eastAsia"/>
          <w:color w:val="auto"/>
          <w:sz w:val="24"/>
          <w:highlight w:val="none"/>
        </w:rPr>
      </w:pPr>
      <w:r>
        <w:rPr>
          <w:rFonts w:hint="eastAsia"/>
          <w:color w:val="auto"/>
          <w:sz w:val="24"/>
          <w:highlight w:val="none"/>
        </w:rPr>
      </w:r>
      <w:r/>
    </w:p>
    <w:p>
      <w:pPr>
        <w:ind w:firstLine="480"/>
        <w:jc w:val="both"/>
        <w:spacing w:line="360" w:lineRule="auto"/>
        <w:rPr>
          <w:rFonts w:hint="eastAsia"/>
          <w:color w:val="auto"/>
          <w:sz w:val="24"/>
          <w:highlight w:val="none"/>
        </w:rPr>
      </w:pPr>
      <w:r>
        <w:rPr>
          <w:rFonts w:hint="eastAsia"/>
          <w:color w:val="auto"/>
          <w:sz w:val="24"/>
          <w:highlight w:val="none"/>
        </w:rPr>
        <w:t xml:space="preserve">本公司（联合体）郑重声明，根据《政府采购促进中小企业发展管理办法》(财库</w:t>
      </w:r>
      <w:r>
        <w:rPr>
          <w:rFonts w:hint="eastAsia"/>
          <w:color w:val="auto"/>
          <w:sz w:val="24"/>
          <w:highlight w:val="none"/>
          <w:lang w:eastAsia="zh-CN"/>
        </w:rPr>
        <w:t xml:space="preserve">〔2020〕46号</w:t>
      </w:r>
      <w:r>
        <w:rPr>
          <w:rFonts w:hint="eastAsia"/>
          <w:color w:val="auto"/>
          <w:sz w:val="24"/>
          <w:highlight w:val="none"/>
        </w:rPr>
        <w:t xml:space="preserve">)的规定，本公司（联合体）参加采购编号为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 xml:space="preserve">的</w:t>
      </w:r>
      <w:r>
        <w:rPr>
          <w:rFonts w:hint="eastAsia"/>
          <w:color w:val="auto"/>
          <w:sz w:val="24"/>
          <w:highlight w:val="none"/>
          <w:u w:val="single"/>
        </w:rPr>
        <w:t xml:space="preserve">（项目名称）</w:t>
      </w:r>
      <w:r>
        <w:rPr>
          <w:rFonts w:hint="eastAsia"/>
          <w:color w:val="auto"/>
          <w:sz w:val="24"/>
          <w:highlight w:val="none"/>
          <w:u w:val="single"/>
          <w:lang w:val="en-US" w:eastAsia="zh-CN"/>
        </w:rPr>
        <w:t xml:space="preserve">       </w:t>
      </w:r>
      <w:r>
        <w:rPr>
          <w:rFonts w:hint="eastAsia"/>
          <w:color w:val="auto"/>
          <w:sz w:val="24"/>
          <w:highlight w:val="none"/>
        </w:rPr>
        <w:t xml:space="preserve">的采购活动，提供的货物全部由符合政策要求的</w:t>
      </w:r>
      <w:r>
        <w:rPr>
          <w:rFonts w:hint="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color w:val="auto"/>
          <w:sz w:val="24"/>
          <w:highlight w:val="none"/>
          <w:lang w:val="en-US" w:eastAsia="zh-CN"/>
        </w:rPr>
        <w:t xml:space="preserve">中</w:t>
      </w:r>
      <w:r>
        <w:rPr>
          <w:rFonts w:hint="eastAsia"/>
          <w:color w:val="auto"/>
          <w:sz w:val="24"/>
          <w:highlight w:val="none"/>
        </w:rPr>
        <w:t xml:space="preserve">小企业）的具体情况如下：</w:t>
      </w:r>
      <w:r/>
    </w:p>
    <w:p>
      <w:pPr>
        <w:pStyle w:val="738"/>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1.</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738"/>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738"/>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w:t>
      </w:r>
      <w:r/>
    </w:p>
    <w:p>
      <w:pPr>
        <w:pStyle w:val="738"/>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738"/>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本企业对上述声明内容的真实性负责。如有虚假，将依法承担相应责任</w:t>
      </w:r>
      <w:r/>
    </w:p>
    <w:p>
      <w:pPr>
        <w:pStyle w:val="738"/>
        <w:ind w:right="720"/>
        <w:jc w:val="both"/>
        <w:spacing w:before="0" w:beforeAutospacing="0" w:after="0" w:afterAutospacing="0" w:line="360" w:lineRule="auto"/>
        <w:widowControl w:val="off"/>
        <w:rPr>
          <w:color w:val="auto"/>
          <w:highlight w:val="none"/>
        </w:rPr>
      </w:pPr>
      <w:r>
        <w:rPr>
          <w:color w:val="auto"/>
          <w:highlight w:val="none"/>
        </w:rPr>
        <w:t xml:space="preserve"> </w:t>
      </w:r>
      <w:r/>
    </w:p>
    <w:p>
      <w:pPr>
        <w:pStyle w:val="738"/>
        <w:ind w:right="180" w:firstLine="360"/>
        <w:jc w:val="right"/>
        <w:spacing w:before="0" w:beforeAutospacing="0" w:after="0" w:afterAutospacing="0" w:line="360" w:lineRule="auto"/>
        <w:widowControl w:val="off"/>
        <w:rPr>
          <w:color w:val="auto"/>
          <w:highlight w:val="none"/>
        </w:rPr>
      </w:pPr>
      <w:r>
        <w:rPr>
          <w:rFonts w:hint="eastAsia"/>
          <w:color w:val="auto"/>
          <w:highlight w:val="none"/>
        </w:rPr>
        <w:t xml:space="preserve">企业名称（加盖CA电子公章）：</w:t>
      </w:r>
      <w:r/>
    </w:p>
    <w:p>
      <w:pPr>
        <w:pStyle w:val="738"/>
        <w:ind w:right="480" w:firstLine="5400"/>
        <w:jc w:val="both"/>
        <w:spacing w:before="0" w:beforeAutospacing="0" w:after="0" w:afterAutospacing="0" w:line="360" w:lineRule="auto"/>
        <w:widowControl w:val="off"/>
        <w:rPr>
          <w:color w:val="auto"/>
          <w:highlight w:val="none"/>
        </w:rPr>
      </w:pPr>
      <w:r>
        <w:rPr>
          <w:rFonts w:hint="eastAsia"/>
          <w:color w:val="auto"/>
          <w:highlight w:val="none"/>
        </w:rPr>
        <w:t xml:space="preserve">日  期：</w:t>
      </w:r>
      <w:r/>
    </w:p>
    <w:p>
      <w:pPr>
        <w:pStyle w:val="738"/>
        <w:ind w:firstLine="360"/>
        <w:jc w:val="both"/>
        <w:spacing w:before="0" w:beforeAutospacing="0" w:after="0" w:afterAutospacing="0" w:line="360" w:lineRule="auto"/>
        <w:widowControl w:val="off"/>
        <w:rPr>
          <w:color w:val="auto"/>
          <w:highlight w:val="none"/>
        </w:rPr>
      </w:pPr>
      <w:r>
        <w:rPr>
          <w:color w:val="auto"/>
          <w:highlight w:val="none"/>
        </w:rPr>
        <w:t xml:space="preserve"> </w:t>
      </w:r>
      <w:r/>
    </w:p>
    <w:p>
      <w:pPr>
        <w:pStyle w:val="738"/>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备注1：从业人员、营业收入、资产总额填报上一年度数据，无上一年度数据的新成立企业可不填报。</w:t>
      </w:r>
      <w:r/>
    </w:p>
    <w:p>
      <w:pPr>
        <w:pStyle w:val="738"/>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备注2：供应商如不提供此声明函，价格将不做相应扣除（如项目全面面向中小企业，则资格审查不通过）。</w:t>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738"/>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一</w:t>
      </w:r>
      <w:r>
        <w:rPr>
          <w:rFonts w:hint="eastAsia" w:ascii="黑体" w:hAnsi="宋体" w:eastAsia="黑体" w:cs="黑体"/>
          <w:b/>
          <w:color w:val="auto"/>
          <w:sz w:val="32"/>
          <w:szCs w:val="32"/>
          <w:highlight w:val="none"/>
        </w:rPr>
        <w:t xml:space="preserve">、残疾人福利性单位声明函（分包号：**）</w:t>
      </w:r>
      <w:r/>
    </w:p>
    <w:p>
      <w:pPr>
        <w:pStyle w:val="738"/>
        <w:ind w:firstLine="480"/>
        <w:jc w:val="both"/>
        <w:spacing w:beforeAutospacing="0" w:afterAutospacing="0" w:line="360" w:lineRule="auto"/>
        <w:rPr>
          <w:color w:val="auto"/>
          <w:highlight w:val="none"/>
        </w:rPr>
      </w:pPr>
      <w:r>
        <w:rPr>
          <w:rFonts w:hint="eastAsia" w:ascii="宋体" w:hAnsi="宋体" w:cs="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highlight w:val="none"/>
          <w:u w:val="single"/>
        </w:rPr>
        <w:t xml:space="preserve">       </w:t>
      </w:r>
      <w:r>
        <w:rPr>
          <w:rFonts w:hint="eastAsia" w:ascii="宋体" w:hAnsi="宋体" w:cs="宋体"/>
          <w:color w:val="auto"/>
          <w:highlight w:val="none"/>
        </w:rPr>
        <w:t xml:space="preserve">项目（分包号：**）采购活动提供本单位制造的货物，或者提供其他残疾人福利性单位制造的货物（不包括使用非残疾人福利性单位注册商标的货物）。</w:t>
      </w:r>
      <w:r/>
    </w:p>
    <w:p>
      <w:pPr>
        <w:pStyle w:val="738"/>
        <w:ind w:firstLine="480"/>
        <w:jc w:val="both"/>
        <w:spacing w:beforeAutospacing="0" w:afterAutospacing="0" w:line="360" w:lineRule="auto"/>
        <w:rPr>
          <w:color w:val="auto"/>
          <w:highlight w:val="none"/>
        </w:rPr>
      </w:pPr>
      <w:r>
        <w:rPr>
          <w:rFonts w:hint="eastAsia" w:ascii="宋体" w:hAnsi="宋体" w:cs="宋体"/>
          <w:color w:val="auto"/>
          <w:highlight w:val="none"/>
        </w:rPr>
        <w:t xml:space="preserve">本单位对上述声明的真实性负责。如有虚假，将依法承担相应责任。</w:t>
      </w:r>
      <w:r/>
    </w:p>
    <w:p>
      <w:pPr>
        <w:pStyle w:val="738"/>
        <w:ind w:firstLine="480"/>
        <w:jc w:val="both"/>
        <w:spacing w:beforeAutospacing="0" w:afterAutospacing="0" w:line="360" w:lineRule="auto"/>
        <w:rPr>
          <w:color w:val="auto"/>
          <w:highlight w:val="none"/>
        </w:rPr>
      </w:pPr>
      <w:r>
        <w:rPr>
          <w:color w:val="auto"/>
          <w:highlight w:val="none"/>
        </w:rPr>
        <w:t xml:space="preserve"> </w:t>
      </w:r>
      <w:r/>
    </w:p>
    <w:p>
      <w:pPr>
        <w:pStyle w:val="738"/>
        <w:ind w:firstLine="480"/>
        <w:jc w:val="both"/>
        <w:spacing w:beforeAutospacing="0" w:afterAutospacing="0" w:line="360" w:lineRule="auto"/>
        <w:rPr>
          <w:color w:val="auto"/>
          <w:highlight w:val="none"/>
        </w:rPr>
      </w:pPr>
      <w:r>
        <w:rPr>
          <w:rFonts w:hint="eastAsia" w:ascii="宋体" w:hAnsi="宋体" w:cs="宋体"/>
          <w:color w:val="auto"/>
          <w:highlight w:val="none"/>
        </w:rPr>
        <w:t xml:space="preserve">（备注：1、供应商如不提供此声明函，价格将不做相应扣除。2、中标供应商为残疾人福利单位的，此声明函将随中标结果同时公告，接受社会监督）</w:t>
      </w:r>
      <w:r/>
    </w:p>
    <w:p>
      <w:pPr>
        <w:pStyle w:val="738"/>
        <w:ind w:firstLine="624"/>
        <w:jc w:val="both"/>
        <w:spacing w:beforeAutospacing="0" w:afterAutospacing="0" w:line="360" w:lineRule="auto"/>
        <w:rPr>
          <w:color w:val="auto"/>
          <w:highlight w:val="none"/>
        </w:rPr>
      </w:pPr>
      <w:r>
        <w:rPr>
          <w:color w:val="auto"/>
          <w:highlight w:val="none"/>
        </w:rPr>
        <w:t xml:space="preserve"> </w:t>
      </w:r>
      <w:r/>
    </w:p>
    <w:p>
      <w:pPr>
        <w:pStyle w:val="738"/>
        <w:ind w:right="1560" w:firstLine="624"/>
        <w:jc w:val="center"/>
        <w:spacing w:beforeAutospacing="0" w:afterAutospacing="0" w:line="360" w:lineRule="auto"/>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cs="宋体"/>
          <w:color w:val="auto"/>
          <w:highlight w:val="none"/>
        </w:rPr>
        <w:t xml:space="preserve">          供应商全称（加盖CA电子公章）：</w:t>
      </w:r>
      <w:r/>
    </w:p>
    <w:p>
      <w:pPr>
        <w:pStyle w:val="738"/>
        <w:ind w:right="1560" w:firstLine="480"/>
        <w:jc w:val="center"/>
        <w:spacing w:beforeAutospacing="0" w:afterAutospacing="0" w:line="360" w:lineRule="auto"/>
        <w:tabs>
          <w:tab w:val="left" w:pos="4864" w:leader="none"/>
        </w:tabs>
        <w:rPr>
          <w:color w:val="auto"/>
          <w:highlight w:val="none"/>
        </w:rPr>
      </w:pPr>
      <w:r>
        <w:rPr>
          <w:rFonts w:hint="eastAsia" w:ascii="宋体" w:hAnsi="宋体" w:cs="宋体"/>
          <w:color w:val="auto"/>
          <w:highlight w:val="none"/>
        </w:rPr>
        <w:t xml:space="preserve">        日  期：</w:t>
      </w:r>
      <w:r/>
    </w:p>
    <w:p>
      <w:pPr>
        <w:pStyle w:val="738"/>
        <w:jc w:val="center"/>
        <w:spacing w:beforeAutospacing="0" w:afterAutospacing="0" w:line="0" w:lineRule="atLeast"/>
        <w:rPr>
          <w:color w:val="auto"/>
          <w:highlight w:val="none"/>
        </w:rPr>
      </w:pPr>
      <w:r>
        <w:rPr>
          <w:color w:val="auto"/>
          <w:highlight w:val="none"/>
        </w:rPr>
        <w:t xml:space="preserve"> </w:t>
      </w:r>
      <w:r/>
    </w:p>
    <w:p>
      <w:pPr>
        <w:pStyle w:val="738"/>
        <w:jc w:val="center"/>
        <w:spacing w:beforeAutospacing="0" w:afterAutospacing="0" w:line="0" w:lineRule="atLeast"/>
        <w:rPr>
          <w:color w:val="auto"/>
          <w:highlight w:val="none"/>
        </w:rPr>
      </w:pPr>
      <w:r>
        <w:rPr>
          <w:color w:val="auto"/>
          <w:highlight w:val="none"/>
        </w:rPr>
        <w:t xml:space="preserve"> </w:t>
      </w:r>
      <w:r/>
    </w:p>
    <w:p>
      <w:pPr>
        <w:pStyle w:val="738"/>
        <w:jc w:val="center"/>
        <w:spacing w:beforeAutospacing="0" w:afterAutospacing="0" w:line="0" w:lineRule="atLeast"/>
        <w:rPr>
          <w:color w:val="auto"/>
          <w:highlight w:val="none"/>
        </w:rPr>
      </w:pPr>
      <w:r>
        <w:rPr>
          <w:color w:val="auto"/>
          <w:highlight w:val="none"/>
        </w:rPr>
        <w:t xml:space="preserve"> </w:t>
      </w:r>
      <w:r/>
    </w:p>
    <w:p>
      <w:pPr>
        <w:pStyle w:val="738"/>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二</w:t>
      </w:r>
      <w:r>
        <w:rPr>
          <w:rFonts w:hint="eastAsia" w:ascii="黑体" w:hAnsi="宋体" w:eastAsia="黑体" w:cs="黑体"/>
          <w:b/>
          <w:color w:val="auto"/>
          <w:sz w:val="32"/>
          <w:szCs w:val="32"/>
          <w:highlight w:val="none"/>
        </w:rPr>
        <w:t xml:space="preserve">、联合体协议（参考格式）（分包号：**）</w:t>
      </w:r>
      <w:r/>
    </w:p>
    <w:p>
      <w:pPr>
        <w:pStyle w:val="738"/>
        <w:jc w:val="both"/>
        <w:spacing w:beforeAutospacing="0" w:afterAutospacing="0" w:line="0" w:lineRule="atLeast"/>
        <w:rPr>
          <w:color w:val="auto"/>
          <w:highlight w:val="none"/>
        </w:rPr>
      </w:pPr>
      <w:r>
        <w:rPr>
          <w:rFonts w:hint="eastAsia" w:ascii="宋体" w:hAnsi="宋体" w:eastAsia="宋体" w:cs="宋体"/>
          <w:color w:val="auto"/>
          <w:highlight w:val="none"/>
        </w:rPr>
        <w:t xml:space="preserve">（联合体中各供应商全称）在此达成以下协议：</w:t>
      </w:r>
      <w:r/>
    </w:p>
    <w:p>
      <w:pPr>
        <w:pStyle w:val="738"/>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1、我们</w:t>
      </w:r>
      <w:r>
        <w:rPr>
          <w:rFonts w:hint="eastAsia" w:ascii="宋体" w:hAnsi="宋体" w:eastAsia="宋体" w:cs="宋体"/>
          <w:color w:val="auto"/>
          <w:highlight w:val="none"/>
          <w:u w:val="single"/>
        </w:rPr>
        <w:t xml:space="preserve"> （供应商1），（供应商2） ，……</w:t>
      </w:r>
      <w:r>
        <w:rPr>
          <w:rFonts w:hint="eastAsia" w:ascii="宋体" w:hAnsi="宋体" w:eastAsia="宋体" w:cs="宋体"/>
          <w:color w:val="auto"/>
          <w:highlight w:val="none"/>
        </w:rPr>
        <w:t xml:space="preserve">自愿组成联合体，参加盐城市政府采购中心组织的采购编号为</w:t>
      </w:r>
      <w:r>
        <w:rPr>
          <w:rFonts w:hint="eastAsia" w:ascii="宋体" w:hAnsi="宋体" w:eastAsia="宋体" w:cs="宋体"/>
          <w:color w:val="auto"/>
          <w:highlight w:val="none"/>
          <w:u w:val="single"/>
        </w:rPr>
        <w:t xml:space="preserve">（编号全称），（项目全称）</w:t>
      </w:r>
      <w:r>
        <w:rPr>
          <w:rFonts w:hint="eastAsia" w:ascii="宋体" w:hAnsi="宋体" w:eastAsia="宋体" w:cs="宋体"/>
          <w:color w:val="auto"/>
          <w:highlight w:val="none"/>
        </w:rPr>
        <w:t xml:space="preserve">项目（分包号：**）的政府采购活动，我联合体指定</w:t>
      </w:r>
      <w:r>
        <w:rPr>
          <w:rFonts w:hint="eastAsia" w:ascii="宋体" w:hAnsi="宋体" w:eastAsia="宋体" w:cs="宋体"/>
          <w:color w:val="auto"/>
          <w:highlight w:val="none"/>
          <w:u w:val="single"/>
        </w:rPr>
        <w:t xml:space="preserve">（供应商*）</w:t>
      </w:r>
      <w:r>
        <w:rPr>
          <w:rFonts w:hint="eastAsia" w:ascii="宋体" w:hAnsi="宋体" w:eastAsia="宋体" w:cs="宋体"/>
          <w:color w:val="auto"/>
          <w:highlight w:val="none"/>
        </w:rPr>
        <w:t xml:space="preserve">为牵头单位（牵头单位必须为联合体成员）。</w:t>
      </w:r>
      <w:r/>
    </w:p>
    <w:p>
      <w:pPr>
        <w:pStyle w:val="738"/>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738"/>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3、其中</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38"/>
        <w:ind w:firstLine="645"/>
        <w:jc w:val="both"/>
        <w:spacing w:beforeAutospacing="0" w:afterAutospacing="0" w:line="0" w:lineRule="atLeast"/>
        <w:rPr>
          <w:color w:val="auto"/>
          <w:highlight w:val="none"/>
        </w:rPr>
      </w:pPr>
      <w:r>
        <w:rPr>
          <w:color w:val="auto"/>
          <w:highlight w:val="none"/>
        </w:rPr>
        <w:t xml:space="preserve"> </w:t>
      </w:r>
      <w:r/>
    </w:p>
    <w:p>
      <w:pPr>
        <w:pStyle w:val="738"/>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备注：本招标文件中要求加盖CA电子签章的地方，仅需加盖牵头单位的CA电子签章。</w:t>
      </w:r>
      <w:r/>
    </w:p>
    <w:p>
      <w:pPr>
        <w:pStyle w:val="738"/>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w:t>
      </w:r>
      <w:r/>
    </w:p>
    <w:p>
      <w:pPr>
        <w:pStyle w:val="738"/>
        <w:ind w:firstLine="645"/>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联合体中各供应商全称（公章）：     </w:t>
      </w:r>
      <w:r/>
    </w:p>
    <w:p>
      <w:pPr>
        <w:pStyle w:val="738"/>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日期：</w:t>
      </w:r>
      <w:r/>
    </w:p>
    <w:p>
      <w:pPr>
        <w:pStyle w:val="738"/>
        <w:ind w:firstLine="645"/>
        <w:jc w:val="both"/>
        <w:spacing w:beforeAutospacing="0" w:afterAutospacing="0" w:line="0" w:lineRule="atLeast"/>
        <w:rPr>
          <w:color w:val="auto"/>
          <w:highlight w:val="none"/>
        </w:rPr>
      </w:pPr>
      <w:r>
        <w:rPr>
          <w:color w:val="auto"/>
          <w:highlight w:val="none"/>
        </w:rPr>
        <w:t xml:space="preserve"> </w:t>
      </w:r>
      <w:r/>
    </w:p>
    <w:p>
      <w:pPr>
        <w:pStyle w:val="738"/>
        <w:jc w:val="both"/>
        <w:spacing w:beforeAutospacing="0" w:afterAutospacing="0" w:line="0" w:lineRule="atLeast"/>
        <w:rPr>
          <w:color w:val="auto"/>
          <w:highlight w:val="none"/>
        </w:rPr>
      </w:pPr>
      <w:r>
        <w:rPr>
          <w:color w:val="auto"/>
          <w:highlight w:val="none"/>
        </w:rPr>
        <w:t xml:space="preserve"> </w:t>
      </w:r>
      <w:r/>
    </w:p>
    <w:p>
      <w:pPr>
        <w:pStyle w:val="738"/>
        <w:jc w:val="both"/>
        <w:spacing w:beforeAutospacing="0" w:afterAutospacing="0" w:line="0" w:lineRule="atLeast"/>
        <w:rPr>
          <w:color w:val="auto"/>
          <w:highlight w:val="none"/>
        </w:rPr>
      </w:pPr>
      <w:r>
        <w:rPr>
          <w:color w:val="auto"/>
          <w:highlight w:val="none"/>
        </w:rPr>
        <w:t xml:space="preserve"> </w:t>
      </w:r>
      <w:r/>
    </w:p>
    <w:p>
      <w:pPr>
        <w:pStyle w:val="738"/>
        <w:jc w:val="both"/>
        <w:spacing w:beforeAutospacing="0" w:afterAutospacing="0" w:line="0" w:lineRule="atLeast"/>
        <w:rPr>
          <w:color w:val="auto"/>
          <w:highlight w:val="none"/>
        </w:rPr>
      </w:pPr>
      <w:r>
        <w:rPr>
          <w:color w:val="auto"/>
          <w:highlight w:val="none"/>
        </w:rPr>
        <w:t xml:space="preserve"> </w:t>
      </w:r>
      <w:r/>
    </w:p>
    <w:p>
      <w:pPr>
        <w:pStyle w:val="738"/>
        <w:jc w:val="both"/>
        <w:spacing w:beforeAutospacing="0" w:afterAutospacing="0" w:line="0" w:lineRule="atLeast"/>
        <w:rPr>
          <w:color w:val="auto"/>
          <w:highlight w:val="none"/>
        </w:rPr>
      </w:pPr>
      <w:r>
        <w:rPr>
          <w:color w:val="auto"/>
          <w:highlight w:val="none"/>
        </w:rPr>
        <w:t xml:space="preserve"> </w:t>
      </w:r>
      <w:r/>
    </w:p>
    <w:p>
      <w:pPr>
        <w:pStyle w:val="738"/>
        <w:jc w:val="both"/>
        <w:spacing w:beforeAutospacing="0" w:afterAutospacing="0" w:line="0" w:lineRule="atLeast"/>
        <w:rPr>
          <w:color w:val="auto"/>
          <w:highlight w:val="none"/>
        </w:rPr>
      </w:pPr>
      <w:r>
        <w:rPr>
          <w:color w:val="auto"/>
          <w:highlight w:val="none"/>
        </w:rPr>
      </w:r>
      <w:r/>
    </w:p>
    <w:p>
      <w:pPr>
        <w:pStyle w:val="738"/>
        <w:jc w:val="both"/>
        <w:spacing w:beforeAutospacing="0" w:afterAutospacing="0" w:line="0" w:lineRule="atLeast"/>
        <w:rPr>
          <w:color w:val="auto"/>
          <w:highlight w:val="none"/>
        </w:rPr>
      </w:pPr>
      <w:r>
        <w:rPr>
          <w:color w:val="auto"/>
          <w:highlight w:val="none"/>
        </w:rPr>
      </w:r>
      <w:r/>
    </w:p>
    <w:p>
      <w:pPr>
        <w:pStyle w:val="738"/>
        <w:jc w:val="both"/>
        <w:spacing w:beforeAutospacing="0" w:afterAutospacing="0" w:line="0" w:lineRule="atLeast"/>
        <w:rPr>
          <w:color w:val="auto"/>
          <w:highlight w:val="none"/>
        </w:rPr>
      </w:pPr>
      <w:r>
        <w:rPr>
          <w:color w:val="auto"/>
          <w:highlight w:val="none"/>
        </w:rPr>
      </w:r>
      <w:r/>
    </w:p>
    <w:p>
      <w:pPr>
        <w:pStyle w:val="738"/>
        <w:jc w:val="both"/>
        <w:spacing w:beforeAutospacing="0" w:afterAutospacing="0" w:line="0" w:lineRule="atLeast"/>
        <w:rPr>
          <w:color w:val="auto"/>
          <w:highlight w:val="none"/>
        </w:rPr>
      </w:pPr>
      <w:r>
        <w:rPr>
          <w:color w:val="auto"/>
          <w:highlight w:val="none"/>
        </w:rPr>
      </w:r>
      <w:r/>
    </w:p>
    <w:p>
      <w:pPr>
        <w:pStyle w:val="738"/>
        <w:jc w:val="both"/>
        <w:spacing w:beforeAutospacing="0" w:afterAutospacing="0" w:line="0" w:lineRule="atLeast"/>
        <w:rPr>
          <w:color w:val="auto"/>
          <w:highlight w:val="none"/>
        </w:rPr>
      </w:pPr>
      <w:r>
        <w:rPr>
          <w:color w:val="auto"/>
          <w:highlight w:val="none"/>
        </w:rPr>
      </w:r>
      <w:r/>
    </w:p>
    <w:p>
      <w:pPr>
        <w:pStyle w:val="738"/>
        <w:jc w:val="both"/>
        <w:spacing w:beforeAutospacing="0" w:afterAutospacing="0" w:line="0" w:lineRule="atLeast"/>
        <w:rPr>
          <w:color w:val="auto"/>
          <w:highlight w:val="none"/>
        </w:rPr>
      </w:pPr>
      <w:r>
        <w:rPr>
          <w:color w:val="auto"/>
          <w:highlight w:val="none"/>
        </w:rPr>
      </w:r>
      <w:r/>
    </w:p>
    <w:p>
      <w:pPr>
        <w:pStyle w:val="738"/>
        <w:jc w:val="both"/>
        <w:spacing w:beforeAutospacing="0" w:afterAutospacing="0" w:line="0" w:lineRule="atLeast"/>
        <w:rPr>
          <w:color w:val="auto"/>
          <w:highlight w:val="none"/>
        </w:rPr>
      </w:pPr>
      <w:r>
        <w:rPr>
          <w:color w:val="auto"/>
          <w:highlight w:val="none"/>
        </w:rPr>
      </w:r>
      <w:r/>
    </w:p>
    <w:p>
      <w:pPr>
        <w:pStyle w:val="738"/>
        <w:jc w:val="both"/>
        <w:spacing w:beforeAutospacing="0" w:afterAutospacing="0" w:line="0" w:lineRule="atLeast"/>
        <w:rPr>
          <w:color w:val="auto"/>
          <w:highlight w:val="none"/>
        </w:rPr>
      </w:pPr>
      <w:r>
        <w:rPr>
          <w:color w:val="auto"/>
          <w:highlight w:val="none"/>
        </w:rPr>
      </w:r>
      <w:r/>
    </w:p>
    <w:p>
      <w:pPr>
        <w:pStyle w:val="738"/>
        <w:jc w:val="both"/>
        <w:spacing w:beforeAutospacing="0" w:afterAutospacing="0" w:line="0" w:lineRule="atLeast"/>
        <w:rPr>
          <w:color w:val="auto"/>
          <w:highlight w:val="none"/>
        </w:rPr>
      </w:pPr>
      <w:r>
        <w:rPr>
          <w:color w:val="auto"/>
          <w:highlight w:val="none"/>
        </w:rPr>
      </w:r>
      <w:r/>
    </w:p>
    <w:p>
      <w:pPr>
        <w:pStyle w:val="738"/>
        <w:jc w:val="both"/>
        <w:spacing w:beforeAutospacing="0" w:afterAutospacing="0" w:line="0" w:lineRule="atLeast"/>
        <w:rPr>
          <w:color w:val="auto"/>
          <w:highlight w:val="none"/>
        </w:rPr>
      </w:pPr>
      <w:r>
        <w:rPr>
          <w:color w:val="auto"/>
          <w:highlight w:val="none"/>
        </w:rPr>
      </w:r>
      <w:r/>
    </w:p>
    <w:p>
      <w:pPr>
        <w:pStyle w:val="738"/>
        <w:jc w:val="both"/>
        <w:spacing w:beforeAutospacing="0" w:afterAutospacing="0" w:line="0" w:lineRule="atLeast"/>
        <w:rPr>
          <w:color w:val="auto"/>
          <w:highlight w:val="none"/>
        </w:rPr>
      </w:pPr>
      <w:r>
        <w:rPr>
          <w:color w:val="auto"/>
          <w:highlight w:val="none"/>
        </w:rPr>
      </w:r>
      <w:r/>
    </w:p>
    <w:p>
      <w:pPr>
        <w:pStyle w:val="738"/>
        <w:jc w:val="both"/>
        <w:spacing w:beforeAutospacing="0" w:afterAutospacing="0" w:line="0" w:lineRule="atLeast"/>
        <w:rPr>
          <w:color w:val="auto"/>
          <w:highlight w:val="none"/>
        </w:rPr>
      </w:pPr>
      <w:r>
        <w:rPr>
          <w:color w:val="auto"/>
          <w:highlight w:val="none"/>
        </w:rPr>
      </w:r>
      <w:r/>
    </w:p>
    <w:p>
      <w:pPr>
        <w:pStyle w:val="738"/>
        <w:jc w:val="both"/>
        <w:spacing w:beforeAutospacing="0" w:afterAutospacing="0" w:line="0" w:lineRule="atLeast"/>
        <w:rPr>
          <w:color w:val="auto"/>
          <w:highlight w:val="none"/>
        </w:rPr>
      </w:pPr>
      <w:r>
        <w:rPr>
          <w:color w:val="auto"/>
          <w:highlight w:val="none"/>
        </w:rPr>
      </w:r>
      <w:r/>
    </w:p>
    <w:p>
      <w:pPr>
        <w:pStyle w:val="738"/>
        <w:jc w:val="both"/>
        <w:spacing w:beforeAutospacing="0" w:afterAutospacing="0" w:line="0" w:lineRule="atLeast"/>
        <w:rPr>
          <w:color w:val="auto"/>
          <w:highlight w:val="none"/>
        </w:rPr>
      </w:pPr>
      <w:r>
        <w:rPr>
          <w:color w:val="auto"/>
          <w:highlight w:val="none"/>
        </w:rPr>
      </w:r>
      <w:r/>
    </w:p>
    <w:p>
      <w:pPr>
        <w:pStyle w:val="738"/>
        <w:jc w:val="both"/>
        <w:spacing w:beforeAutospacing="0" w:afterAutospacing="0" w:line="0" w:lineRule="atLeast"/>
        <w:rPr>
          <w:color w:val="auto"/>
          <w:highlight w:val="none"/>
        </w:rPr>
      </w:pPr>
      <w:r>
        <w:rPr>
          <w:color w:val="auto"/>
          <w:highlight w:val="none"/>
        </w:rPr>
      </w:r>
      <w:r/>
    </w:p>
    <w:p>
      <w:pPr>
        <w:pStyle w:val="738"/>
        <w:jc w:val="both"/>
        <w:spacing w:beforeAutospacing="0" w:afterAutospacing="0" w:line="0" w:lineRule="atLeast"/>
        <w:rPr>
          <w:color w:val="auto"/>
          <w:highlight w:val="none"/>
        </w:rPr>
      </w:pPr>
      <w:r>
        <w:rPr>
          <w:color w:val="auto"/>
          <w:highlight w:val="none"/>
        </w:rPr>
      </w:r>
      <w:r/>
    </w:p>
    <w:p>
      <w:pPr>
        <w:pStyle w:val="738"/>
        <w:jc w:val="both"/>
        <w:spacing w:beforeAutospacing="0" w:afterAutospacing="0" w:line="0" w:lineRule="atLeast"/>
        <w:rPr>
          <w:color w:val="auto"/>
          <w:highlight w:val="none"/>
        </w:rPr>
      </w:pPr>
      <w:r>
        <w:rPr>
          <w:color w:val="auto"/>
          <w:highlight w:val="none"/>
        </w:rPr>
        <w:t xml:space="preserve"> </w:t>
      </w:r>
      <w:r/>
    </w:p>
    <w:p>
      <w:pPr>
        <w:pStyle w:val="738"/>
        <w:jc w:val="both"/>
        <w:spacing w:beforeAutospacing="0" w:afterAutospacing="0" w:line="0" w:lineRule="atLeast"/>
        <w:rPr>
          <w:color w:val="auto"/>
          <w:highlight w:val="none"/>
        </w:rPr>
      </w:pPr>
      <w:r>
        <w:rPr>
          <w:color w:val="auto"/>
          <w:highlight w:val="none"/>
        </w:rPr>
        <w:t xml:space="preserve"> </w:t>
      </w:r>
      <w:r/>
    </w:p>
    <w:p>
      <w:pPr>
        <w:pStyle w:val="738"/>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738"/>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三</w:t>
      </w:r>
      <w:r>
        <w:rPr>
          <w:rFonts w:hint="eastAsia" w:ascii="黑体" w:hAnsi="宋体" w:eastAsia="黑体" w:cs="黑体"/>
          <w:b/>
          <w:color w:val="auto"/>
          <w:sz w:val="32"/>
          <w:szCs w:val="32"/>
          <w:highlight w:val="none"/>
        </w:rPr>
        <w:t xml:space="preserve">、投标分项报价表（分包号：***）</w:t>
      </w:r>
      <w:r/>
    </w:p>
    <w:tbl>
      <w:tblPr>
        <w:tblStyle w:val="715"/>
        <w:tblW w:w="9217"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91"/>
        <w:gridCol w:w="1078"/>
        <w:gridCol w:w="979"/>
        <w:gridCol w:w="1405"/>
        <w:gridCol w:w="807"/>
        <w:gridCol w:w="993"/>
        <w:gridCol w:w="753"/>
        <w:gridCol w:w="1365"/>
        <w:gridCol w:w="1246"/>
      </w:tblGrid>
      <w:tr>
        <w:trPr>
          <w:jc w:val="center"/>
          <w:tblCellSpacing w:w="0" w:type="dxa"/>
          <w:trHeight w:val="325"/>
        </w:trPr>
        <w:tc>
          <w:tcPr>
            <w:shd w:val="clear" w:color="auto" w:fill="auto"/>
            <w:tcBorders>
              <w:top w:val="single" w:color="000000" w:sz="4" w:space="0"/>
              <w:left w:val="single" w:color="000000" w:sz="4" w:space="0"/>
              <w:right w:val="single" w:color="000000" w:sz="4" w:space="0"/>
            </w:tcBorders>
            <w:tcW w:w="591" w:type="dxa"/>
            <w:vAlign w:val="center"/>
            <w:vMerge w:val="restart"/>
            <w:textDirection w:val="lrTb"/>
            <w:noWrap w:val="false"/>
          </w:tcPr>
          <w:p>
            <w:pPr>
              <w:pStyle w:val="738"/>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738"/>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38"/>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38"/>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38"/>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38"/>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738"/>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738"/>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38"/>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w:t>
            </w:r>
            <w:r/>
          </w:p>
        </w:tc>
      </w:tr>
      <w:tr>
        <w:trPr>
          <w:jc w:val="center"/>
          <w:tblCellSpacing w:w="0" w:type="dxa"/>
          <w:trHeight w:val="288"/>
        </w:trPr>
        <w:tc>
          <w:tcPr>
            <w:shd w:val="clear" w:color="auto" w:fill="auto"/>
            <w:tcBorders>
              <w:left w:val="single" w:color="000000" w:sz="4" w:space="0"/>
              <w:bottom w:val="single" w:color="000000" w:sz="4" w:space="0"/>
              <w:right w:val="single" w:color="000000" w:sz="4" w:space="0"/>
            </w:tcBorders>
            <w:tcW w:w="591" w:type="dxa"/>
            <w:vAlign w:val="center"/>
            <w:vMerge w:val="continue"/>
            <w:textDirection w:val="lrTb"/>
            <w:noWrap w:val="false"/>
          </w:tcPr>
          <w:p>
            <w:pPr>
              <w:pStyle w:val="738"/>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738"/>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产品</w:t>
            </w:r>
            <w:r/>
          </w:p>
          <w:p>
            <w:pPr>
              <w:pStyle w:val="738"/>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38"/>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38"/>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规格</w:t>
            </w:r>
            <w:r/>
          </w:p>
          <w:p>
            <w:pPr>
              <w:pStyle w:val="738"/>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38"/>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38"/>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738"/>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738"/>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38"/>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分项总价</w:t>
            </w: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i w:val="0"/>
                <w:iCs w:val="0"/>
                <w:color w:val="auto"/>
                <w:sz w:val="18"/>
                <w:szCs w:val="18"/>
                <w:highlight w:val="none"/>
                <w:u w:val="none"/>
                <w:lang w:val="en-US" w:eastAsia="zh-CN"/>
              </w:rPr>
              <w:t xml:space="preserve">穿戴式学生VR终端</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i w:val="0"/>
                <w:iCs w:val="0"/>
                <w:color w:val="auto"/>
                <w:sz w:val="18"/>
                <w:szCs w:val="18"/>
                <w:highlight w:val="none"/>
                <w:u w:val="none"/>
                <w:lang w:val="en-US" w:eastAsia="zh-CN"/>
              </w:rPr>
              <w:t xml:space="preserve">50台</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穿戴式学生VR终端系统</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50套</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教师端VR教学管理系统</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融合学科VR教学资源</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小学科学VR教学系统</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设备充电消毒一体柜</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2台</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无线AP</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2台</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裸眼XR便携终端</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2台</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裸眼XR便携终端配件包</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2套</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偏振式3DVR便携式终端</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14套</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观察眼镜</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60副</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VR资源制作软件</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3D 智慧黑板</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2台</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八边形操作台</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12套</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全钢讲台</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2台</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96个</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2套</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教室文化环境布置</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80平方</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铝方通造型</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170平米</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室内地板</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rPr>
              <w:t xml:space="preserve">170平米</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blCellSpacing w:w="0" w:type="dxa"/>
          <w:trHeight w:val="193"/>
        </w:trPr>
        <w:tc>
          <w:tcPr>
            <w:gridSpan w:val="8"/>
            <w:shd w:val="clear" w:color="auto" w:fill="auto"/>
            <w:tcBorders>
              <w:top w:val="single" w:color="000000" w:sz="4" w:space="0"/>
              <w:left w:val="single" w:color="000000" w:sz="4" w:space="0"/>
              <w:bottom w:val="single" w:color="000000" w:sz="4" w:space="0"/>
              <w:right w:val="single" w:color="000000" w:sz="4" w:space="0"/>
            </w:tcBorders>
            <w:tcW w:w="7971" w:type="dxa"/>
            <w:vAlign w:val="center"/>
            <w:textDirection w:val="lrTb"/>
            <w:noWrap w:val="false"/>
          </w:tcPr>
          <w:p>
            <w:pPr>
              <w:pStyle w:val="738"/>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38"/>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bl>
    <w:p>
      <w:pPr>
        <w:pStyle w:val="738"/>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1.投标报价采用总承包方式，“投标总报价”应包括所投货物（包含与货物相关的服务）费用、安装调试费、测试验收费、培训费、运行维护费用、税金、运输保险、报关清关、开证、办理全套免税手续费用及其他有关的为完成本项目发生的所有费用，招标文件中另有规定的除外。</w:t>
      </w:r>
      <w:r/>
    </w:p>
    <w:p>
      <w:pPr>
        <w:pStyle w:val="738"/>
        <w:ind w:firstLine="480"/>
        <w:jc w:val="both"/>
        <w:keepLines w:val="0"/>
        <w:keepNext w:val="0"/>
        <w:pageBreakBefore w:val="0"/>
        <w:spacing w:beforeAutospacing="0" w:afterAutospacing="0" w:line="360" w:lineRule="auto"/>
        <w:widowControl w:val="off"/>
        <w:rPr>
          <w:color w:val="auto"/>
          <w:highlight w:val="none"/>
          <w:shd w:val="clear" w:color="auto" w:fill="auto"/>
        </w:rPr>
      </w:pPr>
      <w:r>
        <w:rPr>
          <w:rFonts w:hint="eastAsia" w:ascii="宋体" w:hAnsi="宋体" w:eastAsia="宋体" w:cs="宋体"/>
          <w:color w:val="auto"/>
          <w:highlight w:val="none"/>
        </w:rPr>
        <w:t xml:space="preserve">2.</w:t>
      </w:r>
      <w:r>
        <w:rPr>
          <w:rFonts w:ascii="Times New Roman" w:hAnsi="Times New Roman"/>
          <w:color w:val="auto"/>
          <w:sz w:val="21"/>
          <w:szCs w:val="21"/>
          <w:highlight w:val="none"/>
        </w:rPr>
        <w:t xml:space="preserve"> “</w:t>
      </w:r>
      <w:r>
        <w:rPr>
          <w:rFonts w:hint="eastAsia" w:ascii="宋体" w:hAnsi="宋体" w:eastAsia="宋体" w:cs="宋体"/>
          <w:color w:val="auto"/>
          <w:highlight w:val="none"/>
        </w:rPr>
        <w:t xml:space="preserve">投标分项报价表</w:t>
      </w:r>
      <w:r>
        <w:rPr>
          <w:rFonts w:ascii="Times New Roman" w:hAnsi="Times New Roman"/>
          <w:color w:val="auto"/>
          <w:sz w:val="21"/>
          <w:szCs w:val="21"/>
          <w:highlight w:val="none"/>
        </w:rPr>
        <w:t xml:space="preserve">”</w:t>
      </w:r>
      <w:r>
        <w:rPr>
          <w:rFonts w:hint="eastAsia" w:ascii="宋体" w:hAnsi="宋体" w:eastAsia="宋体" w:cs="宋体"/>
          <w:color w:val="auto"/>
          <w:highlight w:val="none"/>
          <w:shd w:val="clear" w:color="auto" w:fill="auto"/>
        </w:rPr>
        <w:t xml:space="preserve">中“投标总报价”数额应当与“开标一览表”中“投标总报价”数额一致。</w:t>
      </w:r>
      <w:r/>
    </w:p>
    <w:p>
      <w:pPr>
        <w:pStyle w:val="738"/>
        <w:ind w:firstLine="480"/>
        <w:jc w:val="right"/>
        <w:keepLines w:val="0"/>
        <w:keepNext w:val="0"/>
        <w:pageBreakBefore w:val="0"/>
        <w:spacing w:beforeAutospacing="0" w:afterAutospacing="0" w:line="440" w:lineRule="exact"/>
        <w:widowControl w:val="off"/>
        <w:rPr>
          <w:rFonts w:hint="default" w:ascii="宋体" w:hAnsi="宋体" w:cs="宋体" w:eastAsiaTheme="minorEastAsia"/>
          <w:color w:val="auto"/>
          <w:sz w:val="24"/>
          <w:highlight w:val="none"/>
          <w:lang w:val="en-US" w:eastAsia="zh-CN"/>
        </w:rPr>
      </w:pPr>
      <w:r>
        <w:rPr>
          <w:color w:val="auto"/>
          <w:highlight w:val="none"/>
          <w:shd w:val="clear" w:color="auto" w:fill="auto"/>
        </w:rPr>
        <w:t xml:space="preserve"> </w:t>
      </w:r>
      <w:r>
        <w:rPr>
          <w:rFonts w:hint="eastAsia" w:ascii="宋体" w:hAnsi="宋体" w:cs="宋体"/>
          <w:color w:val="auto"/>
          <w:sz w:val="24"/>
          <w:highlight w:val="none"/>
        </w:rPr>
        <w:t xml:space="preserve">法定代表人或被授权人（签字）：</w:t>
      </w:r>
      <w:r>
        <w:rPr>
          <w:rFonts w:hint="eastAsia" w:ascii="宋体" w:hAnsi="宋体" w:cs="宋体"/>
          <w:color w:val="auto"/>
          <w:sz w:val="24"/>
          <w:highlight w:val="none"/>
          <w:lang w:val="en-US" w:eastAsia="zh-CN"/>
        </w:rPr>
        <w:t xml:space="preserve">                           </w:t>
      </w:r>
      <w:r/>
    </w:p>
    <w:p>
      <w:pPr>
        <w:ind w:firstLine="1680"/>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p>
      <w:pPr>
        <w:ind w:firstLine="2880"/>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企业名称（加盖CA电子公章）：</w:t>
      </w:r>
      <w:r/>
    </w:p>
    <w:p>
      <w:pPr>
        <w:ind w:firstLine="1680"/>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jc w:val="right"/>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pStyle w:val="738"/>
        <w:ind w:firstLine="480"/>
        <w:jc w:val="both"/>
        <w:keepLines w:val="0"/>
        <w:keepNext w:val="0"/>
        <w:pageBreakBefore w:val="0"/>
        <w:spacing w:beforeAutospacing="0" w:afterAutospacing="0" w:line="360" w:lineRule="auto"/>
        <w:widowControl w:val="off"/>
        <w:rPr>
          <w:color w:val="auto"/>
          <w:highlight w:val="none"/>
          <w:shd w:val="clear" w:color="auto" w:fill="auto"/>
        </w:rPr>
      </w:pPr>
      <w:r>
        <w:rPr>
          <w:color w:val="auto"/>
          <w:highlight w:val="none"/>
          <w:shd w:val="clear" w:color="auto" w:fill="auto"/>
        </w:rPr>
      </w:r>
      <w:r/>
    </w:p>
    <w:p>
      <w:pPr>
        <w:pStyle w:val="738"/>
        <w:jc w:val="both"/>
        <w:spacing w:beforeAutospacing="0" w:afterAutospacing="0"/>
        <w:rPr>
          <w:color w:val="auto"/>
          <w:highlight w:val="none"/>
        </w:rPr>
      </w:pPr>
      <w:r>
        <w:rPr>
          <w:color w:val="auto"/>
          <w:highlight w:val="none"/>
        </w:rPr>
        <w:t xml:space="preserve"> </w:t>
      </w:r>
      <w:r/>
    </w:p>
    <w:p>
      <w:pPr>
        <w:pStyle w:val="738"/>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738"/>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四</w:t>
      </w:r>
      <w:r>
        <w:rPr>
          <w:rFonts w:hint="eastAsia" w:ascii="黑体" w:hAnsi="宋体" w:eastAsia="黑体" w:cs="黑体"/>
          <w:b/>
          <w:color w:val="auto"/>
          <w:sz w:val="32"/>
          <w:szCs w:val="32"/>
          <w:highlight w:val="none"/>
        </w:rPr>
        <w:t xml:space="preserve">、技术要求响应及偏离表（分包号：**）</w:t>
      </w:r>
      <w:r/>
    </w:p>
    <w:tbl>
      <w:tblPr>
        <w:tblStyle w:val="715"/>
        <w:tblW w:w="9636"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08"/>
        <w:gridCol w:w="1711"/>
        <w:gridCol w:w="1712"/>
        <w:gridCol w:w="2950"/>
        <w:gridCol w:w="1410"/>
        <w:gridCol w:w="1245"/>
      </w:tblGrid>
      <w:tr>
        <w:trPr>
          <w:tblCellSpacing w:w="0" w:type="dxa"/>
          <w:trHeight w:val="634"/>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证明</w:t>
            </w:r>
            <w:r/>
          </w:p>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材料</w:t>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穿戴式学生VR终端</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穿戴式学生VR终端系统</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教师端VR教学管理系统</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default"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融合学科VR教学资源</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小学科学VR教学系统</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设备充电消毒一体柜</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无线AP</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裸眼XR便携终端</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裸眼XR便携终端配件包</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default"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偏振式3DVR便携式终端</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观察眼镜</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VR资源制作软件</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3D 智慧黑板</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八边形操作台</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全钢讲台</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blCellSpacing w:w="0" w:type="dxa"/>
          <w:trHeight w:val="634"/>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教室文化环境布置</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blCellSpacing w:w="0" w:type="dxa"/>
          <w:trHeight w:val="634"/>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铝方通造型</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blCellSpacing w:w="0" w:type="dxa"/>
          <w:trHeight w:val="634"/>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rPr>
              <w:t xml:space="preserve">室内地板</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38"/>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bl>
    <w:p>
      <w:pPr>
        <w:pStyle w:val="738"/>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738"/>
        <w:jc w:val="center"/>
        <w:spacing w:beforeAutospacing="0" w:afterAutospacing="0"/>
        <w:rPr>
          <w:color w:val="auto"/>
          <w:highlight w:val="none"/>
        </w:rPr>
      </w:pPr>
      <w:r>
        <w:rPr>
          <w:color w:val="auto"/>
          <w:highlight w:val="none"/>
        </w:rPr>
        <w:t xml:space="preserve"> </w:t>
      </w:r>
      <w:r/>
    </w:p>
    <w:p>
      <w:pPr>
        <w:pStyle w:val="738"/>
        <w:jc w:val="both"/>
        <w:spacing w:beforeAutospacing="0" w:afterAutospacing="0"/>
        <w:rPr>
          <w:rFonts w:hint="eastAsia"/>
          <w:b/>
          <w:bCs/>
          <w:color w:val="auto"/>
          <w:highlight w:val="none"/>
          <w:lang w:val="en-US" w:eastAsia="zh-CN"/>
        </w:rPr>
      </w:pPr>
      <w:r>
        <w:rPr>
          <w:rFonts w:hint="eastAsia"/>
          <w:b/>
          <w:bCs/>
          <w:color w:val="auto"/>
          <w:highlight w:val="none"/>
          <w:lang w:val="en-US" w:eastAsia="zh-CN"/>
        </w:rPr>
        <w:t xml:space="preserve">上表内容须提供“第四章 采购需求”中要求的证明材料，作为填列证明材料附在本表之后。</w:t>
      </w:r>
      <w:r/>
    </w:p>
    <w:p>
      <w:pPr>
        <w:pStyle w:val="738"/>
        <w:jc w:val="both"/>
        <w:spacing w:beforeAutospacing="0" w:afterAutospacing="0"/>
        <w:rPr>
          <w:color w:val="auto"/>
          <w:highlight w:val="none"/>
        </w:rPr>
      </w:pPr>
      <w:r>
        <w:rPr>
          <w:color w:val="auto"/>
          <w:highlight w:val="none"/>
        </w:rPr>
        <w:t xml:space="preserve"> </w:t>
      </w:r>
      <w:r/>
    </w:p>
    <w:p>
      <w:pPr>
        <w:ind w:firstLine="2880"/>
        <w:spacing w:line="600" w:lineRule="exact"/>
        <w:rPr>
          <w:rFonts w:hint="eastAsia" w:ascii="宋体" w:hAnsi="宋体" w:cs="宋体"/>
          <w:color w:val="auto"/>
          <w:sz w:val="24"/>
          <w:highlight w:val="none"/>
        </w:rPr>
      </w:pPr>
      <w:r>
        <w:rPr>
          <w:color w:val="auto"/>
          <w:highlight w:val="none"/>
        </w:rPr>
        <w:t xml:space="preserve"> </w:t>
      </w:r>
      <w:r>
        <w:rPr>
          <w:rFonts w:hint="eastAsia" w:ascii="宋体" w:hAnsi="宋体" w:cs="宋体"/>
          <w:color w:val="auto"/>
          <w:sz w:val="24"/>
          <w:highlight w:val="none"/>
        </w:rPr>
        <w:t xml:space="preserve">法定代表人或被授权人（签字）：</w:t>
      </w:r>
      <w:r/>
    </w:p>
    <w:p>
      <w:pPr>
        <w:ind w:firstLine="288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企业名称（加盖CA电子公章）：</w:t>
      </w:r>
      <w:r/>
    </w:p>
    <w:p>
      <w:pPr>
        <w:pStyle w:val="738"/>
        <w:jc w:val="right"/>
        <w:spacing w:beforeAutospacing="0" w:afterAutospacing="0"/>
        <w:rPr>
          <w:color w:val="auto"/>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bookmarkStart w:id="185" w:name="_Hlt26955054"/>
      <w:r/>
      <w:r/>
    </w:p>
    <w:p>
      <w:pPr>
        <w:rPr>
          <w:color w:val="auto"/>
          <w:highlight w:val="none"/>
        </w:rPr>
      </w:pPr>
      <w:r>
        <w:rPr>
          <w:color w:val="auto"/>
          <w:highlight w:val="none"/>
        </w:rPr>
        <w:br w:type="page" w:clear="all"/>
      </w:r>
      <w:r/>
    </w:p>
    <w:p>
      <w:pPr>
        <w:pStyle w:val="738"/>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五</w:t>
      </w:r>
      <w:r>
        <w:rPr>
          <w:rFonts w:hint="eastAsia" w:ascii="黑体" w:hAnsi="宋体" w:eastAsia="黑体" w:cs="黑体"/>
          <w:b/>
          <w:color w:val="auto"/>
          <w:sz w:val="32"/>
          <w:szCs w:val="32"/>
          <w:highlight w:val="none"/>
        </w:rPr>
        <w:t xml:space="preserve">、商务要求响应及偏离表（分包号：**）</w:t>
      </w:r>
      <w:r/>
    </w:p>
    <w:tbl>
      <w:tblPr>
        <w:tblStyle w:val="715"/>
        <w:tblW w:w="973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15"/>
        <w:gridCol w:w="3969"/>
        <w:gridCol w:w="2471"/>
        <w:gridCol w:w="1425"/>
        <w:gridCol w:w="1258"/>
      </w:tblGrid>
      <w:tr>
        <w:trPr>
          <w:tblCellSpacing w:w="0" w:type="dxa"/>
          <w:trHeight w:val="372"/>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bookmarkStart w:id="186" w:name="_Hlt26955064"/>
            <w:r/>
            <w:bookmarkStart w:id="187" w:name="_Hlt26955056"/>
            <w:r/>
            <w:bookmarkStart w:id="188" w:name="_Hlt26580838"/>
            <w:r/>
            <w:bookmarkStart w:id="189" w:name="_Hlt24879081"/>
            <w:r/>
            <w:bookmarkStart w:id="190" w:name="_Hlt26671343"/>
            <w:r/>
            <w:bookmarkStart w:id="191" w:name="_Hlt26782999"/>
            <w:r/>
            <w:bookmarkStart w:id="192" w:name="_Hlt26671372"/>
            <w:r/>
            <w:bookmarkStart w:id="193" w:name="_Hlt26609391"/>
            <w:r>
              <w:rPr>
                <w:rFonts w:hint="eastAsia" w:ascii="宋体" w:hAnsi="宋体" w:eastAsia="宋体" w:cs="宋体"/>
                <w:color w:val="auto"/>
                <w:sz w:val="21"/>
                <w:szCs w:val="21"/>
                <w:highlight w:val="none"/>
              </w:rPr>
              <w:t xml:space="preserve">序号</w:t>
            </w:r>
            <w:bookmarkEnd w:id="186"/>
            <w:r/>
            <w:bookmarkEnd w:id="187"/>
            <w:r/>
            <w:bookmarkEnd w:id="188"/>
            <w:r/>
            <w:bookmarkEnd w:id="189"/>
            <w:r/>
            <w:bookmarkEnd w:id="190"/>
            <w:r/>
            <w:bookmarkEnd w:id="191"/>
            <w:r/>
            <w:bookmarkEnd w:id="192"/>
            <w:r/>
            <w:bookmarkEnd w:id="193"/>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证明</w:t>
            </w:r>
            <w:r/>
          </w:p>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材料</w:t>
            </w:r>
            <w:r/>
          </w:p>
        </w:tc>
      </w:tr>
      <w:tr>
        <w:trPr>
          <w:tblCellSpacing w:w="0" w:type="dxa"/>
          <w:trHeight w:val="729"/>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738"/>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项目完成时间：</w:t>
            </w:r>
            <w:r>
              <w:rPr>
                <w:rFonts w:hint="eastAsia" w:ascii="宋体" w:hAnsi="宋体" w:eastAsia="宋体" w:cs="宋体"/>
                <w:color w:val="auto"/>
                <w:sz w:val="21"/>
                <w:szCs w:val="21"/>
                <w:highlight w:val="none"/>
                <w:lang w:eastAsia="zh-CN"/>
              </w:rPr>
              <w:t xml:space="preserve">合同签订后30日历天内货物全部送达招标人指定位置且安装、调试完毕，并确保正常稳定运行。</w:t>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491"/>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738"/>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项目地点：采购人指定地点。</w:t>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491"/>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738"/>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中标人需严密组织设备安装工作，并建立项目台账资料备查。</w:t>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55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738"/>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根据采购单位要求，中标人提供现场操作培训，至操作人员可熟练操作。 </w:t>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729"/>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738"/>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投标人为本项目培训中自有或聘用的培训师具有物理、化学、生物或信息技术专业高级教师资格证书。</w:t>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1799"/>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ind w:firstLine="480"/>
              <w:jc w:val="left"/>
              <w:keepLines w:val="0"/>
              <w:keepNext w:val="0"/>
              <w:pageBreakBefore w:val="0"/>
              <w:spacing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软件产品厂家提供不少于6次的免费培训，并配合学校每年参与省、市等有关部门组织的教学比赛3次以上（上级教育主管部门审批备案的），申请部级、省级课题时的培训和辅助制作相关内容 ，组织申报课题项目至少1个。（投标时投标人仅提供承诺书即可，中标人合同签订前提供相关厂家承诺）</w:t>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1977"/>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ind w:firstLine="480"/>
              <w:jc w:val="left"/>
              <w:keepLines w:val="0"/>
              <w:keepNext w:val="0"/>
              <w:pageBreakBefore w:val="0"/>
              <w:spacing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投产品免费质保期不低于3年。（质保期以项目最终验收之日起算，包含软件维护、故障的调试及升级；中标人须保证所供系统的使用期为永久，保证招标人所购产品的有效性和合法性，中标人所投系统如非自主产权，须在签订合同前提供产权所有权人针对招标人的永久使用授权）。</w:t>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9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ind w:firstLine="480"/>
              <w:jc w:val="left"/>
              <w:keepLines w:val="0"/>
              <w:keepNext w:val="0"/>
              <w:pageBreakBefore w:val="0"/>
              <w:spacing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乙方应按招标文件规定的</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技术要求、质量标准向甲方提供</w:t>
            </w:r>
            <w:r>
              <w:rPr>
                <w:rFonts w:hint="eastAsia" w:ascii="宋体" w:hAnsi="宋体" w:eastAsia="宋体" w:cs="宋体"/>
                <w:color w:val="auto"/>
                <w:sz w:val="21"/>
                <w:szCs w:val="21"/>
                <w:highlight w:val="none"/>
                <w:lang w:val="en-US" w:eastAsia="zh-CN"/>
              </w:rPr>
              <w:t xml:space="preserve">合格服务</w:t>
            </w:r>
            <w:r>
              <w:rPr>
                <w:rFonts w:hint="eastAsia" w:ascii="宋体" w:hAnsi="宋体" w:eastAsia="宋体" w:cs="宋体"/>
                <w:color w:val="auto"/>
                <w:sz w:val="21"/>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1264"/>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ind w:firstLine="480"/>
              <w:jc w:val="left"/>
              <w:keepLines w:val="0"/>
              <w:keepNext w:val="0"/>
              <w:pageBreakBefore w:val="0"/>
              <w:spacing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质保保证期内，乙方为用户提供7*24小时电话或电子邮件服务，响应时间不超过30分钟，2小时内远程排除故障，若电话或网络中无法排除故障，维修人员须4小时内到达现场解决，到达现场后12小时内免费修复；无法修复时2日内免费更换配件，维修至正常工作，并保证所换配件满足招标文件要求，如72小时内不能到位的，甲方有权自行维修或更换配件，其费用在乙方合同余款中扣除，且另按500元／天从合同余款中扣除违约金，直至本次维修项通过验收。</w:t>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blCellSpacing w:w="0" w:type="dxa"/>
          <w:trHeight w:val="55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738"/>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质量保证期满后，供应商和厂家应同样提供免费电话咨询服务，并以优惠价格提供售后服务</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738"/>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如甲方使用不当造成货物的毁损，乙方有义务协助维修。</w:t>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blCellSpacing w:w="0" w:type="dxa"/>
          <w:trHeight w:val="55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ind w:firstLine="480"/>
              <w:jc w:val="left"/>
              <w:keepLines w:val="0"/>
              <w:keepNext w:val="0"/>
              <w:pageBreakBefore w:val="0"/>
              <w:spacing w:line="2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遵守相关保密协议，保证不擅自使用用户数据，并不将用户数据泄露给第三方。</w:t>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blCellSpacing w:w="0" w:type="dxa"/>
          <w:trHeight w:val="491"/>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738"/>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（1）甲方依法组织履约验收工作。（按采购人的招标文件、投标人的响应文件、国家及行业相关规定验收）</w:t>
            </w:r>
            <w:r/>
          </w:p>
          <w:p>
            <w:pPr>
              <w:pStyle w:val="738"/>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38"/>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（3）对于实际使用人和甲方分离的项目，甲方邀请实际使用人参与验收。</w:t>
            </w:r>
            <w:r/>
          </w:p>
          <w:p>
            <w:pPr>
              <w:pStyle w:val="738"/>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（4）如有必要，甲方邀请参加本项目的其他供应商或第三方专业机构及专家参与验收，相关意见将作为验收书的参考资料。</w:t>
            </w:r>
            <w:r/>
          </w:p>
          <w:p>
            <w:pPr>
              <w:pStyle w:val="738"/>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38"/>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验收标准如下：</w:t>
            </w:r>
            <w:r/>
          </w:p>
          <w:p>
            <w:pPr>
              <w:pStyle w:val="738"/>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A、产品为全新，未使用过的原装合格正品，安装质量符合各项技术标准和国家强制性标准；</w:t>
            </w:r>
            <w:r/>
          </w:p>
          <w:p>
            <w:pPr>
              <w:pStyle w:val="738"/>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B、货物到达现场后，乙方必须在使用单位人员在场情况下当面开箱，共同清点、检查外观，箱记录，双方签字确认。</w:t>
            </w:r>
            <w:r/>
          </w:p>
          <w:p>
            <w:pPr>
              <w:pStyle w:val="738"/>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C、乙方应保证货物到达甲方所在地完好无损，如有缺漏、损坏，由乙方负责调换、补齐或赔偿。</w:t>
            </w:r>
            <w:r/>
          </w:p>
          <w:p>
            <w:pPr>
              <w:pStyle w:val="738"/>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D、乙方应提供完备的技术资料、装箱单和合格证等，验收合格条件（标准）如下：</w:t>
            </w:r>
            <w:r/>
          </w:p>
          <w:p>
            <w:pPr>
              <w:pStyle w:val="738"/>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①设备技术参数与采购合同一致，性能指标达到规定的标准。</w:t>
            </w:r>
            <w:r/>
          </w:p>
          <w:p>
            <w:pPr>
              <w:pStyle w:val="738"/>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②货物技术资料、装箱单、合格证等资料齐全。</w:t>
            </w:r>
            <w:r/>
          </w:p>
          <w:p>
            <w:pPr>
              <w:pStyle w:val="738"/>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③在系统试运行期间所出现的问题得到解决，并运行正常。</w:t>
            </w:r>
            <w:r/>
          </w:p>
          <w:p>
            <w:pPr>
              <w:pStyle w:val="738"/>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④在规定时间内完成交货并验收，并经甲方确认。</w:t>
            </w:r>
            <w:r/>
          </w:p>
          <w:p>
            <w:pPr>
              <w:pStyle w:val="738"/>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E、乙方须完成甲方所有采购的软硬件产品安装调试工作，须符合甲方要求并试运行1个月后，才作为最终验收。</w:t>
            </w:r>
            <w:r/>
          </w:p>
          <w:p>
            <w:pPr>
              <w:pStyle w:val="738"/>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F、乙方提供的货物未达到采购文件规定要求，且对甲方造成损失的，由乙方承担一切责任，并赔偿所造成的损失。</w:t>
            </w:r>
            <w:r/>
          </w:p>
          <w:p>
            <w:pPr>
              <w:pStyle w:val="738"/>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G、甲方可邀请国家认可的质量检测机构参加验收工作。</w:t>
            </w:r>
            <w:r/>
          </w:p>
          <w:p>
            <w:pPr>
              <w:pStyle w:val="738"/>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H、甲方需要制造商对乙方交付的产品（包括质量、技术参数等）进行确认的，乙方须无条件配合，并出具书面确认证明。</w:t>
            </w:r>
            <w:r/>
          </w:p>
          <w:p>
            <w:pPr>
              <w:pStyle w:val="738"/>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I、产品包装材料归甲方所有。</w:t>
            </w:r>
            <w:r/>
          </w:p>
          <w:p>
            <w:pPr>
              <w:pStyle w:val="738"/>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blCellSpacing w:w="0" w:type="dxa"/>
          <w:trHeight w:val="55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738"/>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（四）付款方式：</w:t>
            </w:r>
            <w:r/>
          </w:p>
          <w:p>
            <w:pPr>
              <w:pStyle w:val="738"/>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1、合同签订后30日内，支付合同金额30%的预付款。</w:t>
            </w:r>
            <w:r/>
          </w:p>
          <w:p>
            <w:pPr>
              <w:pStyle w:val="738"/>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所有货物安装完毕，甲方组织初步验收，初步验收合格后收到乙方发票10个工作日内甲方向乙方支付至合同总价的90%款项</w:t>
            </w:r>
            <w:r>
              <w:rPr>
                <w:rFonts w:hint="eastAsia" w:ascii="宋体" w:hAnsi="宋体" w:eastAsia="宋体" w:cs="宋体"/>
                <w:color w:val="auto"/>
                <w:sz w:val="21"/>
                <w:szCs w:val="21"/>
                <w:highlight w:val="none"/>
              </w:rPr>
              <w:t xml:space="preserve">；</w:t>
            </w:r>
            <w:r/>
          </w:p>
          <w:p>
            <w:pPr>
              <w:pStyle w:val="738"/>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3、初步验收合格且项目运行满12个月后，甲方组织最终验收，最终验收合格后收到乙方发票10个工作日内甲方付清货款；</w:t>
            </w:r>
            <w:r/>
          </w:p>
          <w:p>
            <w:pPr>
              <w:pStyle w:val="738"/>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4、在签订合同时，乙方明确表示无需预付款或者主动要求降低预付款比例的，甲方可不适用上述关于预付款的规定。</w:t>
            </w:r>
            <w:r/>
          </w:p>
          <w:p>
            <w:pPr>
              <w:pStyle w:val="738"/>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5、结算款项时乙方须出具相应金额的有效票据。</w:t>
            </w:r>
            <w:r/>
          </w:p>
          <w:p>
            <w:pPr>
              <w:pStyle w:val="738"/>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6、甲方原则上自收到发票后10个工作日内将资金支付到乙方账户。</w:t>
            </w:r>
            <w:r/>
          </w:p>
          <w:p>
            <w:pPr>
              <w:pStyle w:val="738"/>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7、当采购数量与实际使用数量不一致时，乙方应根据实际使用量供货，合同的最终结算金额按实际使用量乘以成交单价进行计算。</w:t>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738"/>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738"/>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ind w:firstLine="2880"/>
        <w:spacing w:line="600" w:lineRule="exact"/>
        <w:rPr>
          <w:rFonts w:hint="eastAsia" w:ascii="宋体" w:hAnsi="宋体" w:cs="宋体"/>
          <w:color w:val="auto"/>
          <w:sz w:val="24"/>
          <w:highlight w:val="none"/>
        </w:rPr>
      </w:pPr>
      <w:r/>
      <w:bookmarkStart w:id="194" w:name="_Hlt26955066"/>
      <w:r/>
      <w:bookmarkStart w:id="195" w:name="_Hlt26609389"/>
      <w:r/>
      <w:bookmarkStart w:id="196" w:name="_Toc462564146"/>
      <w:r/>
      <w:bookmarkStart w:id="197" w:name="_Hlt26671374"/>
      <w:r/>
      <w:bookmarkStart w:id="198" w:name="_格式2__法定代表人授权书"/>
      <w:r>
        <w:rPr>
          <w:color w:val="auto"/>
          <w:highlight w:val="none"/>
        </w:rPr>
        <w:t xml:space="preserve"> </w:t>
      </w:r>
      <w:r>
        <w:rPr>
          <w:rFonts w:hint="eastAsia" w:ascii="宋体" w:hAnsi="宋体" w:cs="宋体"/>
          <w:color w:val="auto"/>
          <w:sz w:val="24"/>
          <w:highlight w:val="none"/>
        </w:rPr>
        <w:t xml:space="preserve">法定代表人或被授权人（签字）：</w:t>
      </w:r>
      <w:r/>
    </w:p>
    <w:p>
      <w:pPr>
        <w:ind w:firstLine="288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企业名称（加盖CA电子公章）：</w:t>
      </w:r>
      <w:r/>
    </w:p>
    <w:p>
      <w:pPr>
        <w:jc w:val="right"/>
        <w:rPr>
          <w:rFonts w:hint="eastAsia" w:ascii="黑体" w:hAnsi="宋体" w:eastAsia="黑体" w:cs="黑体"/>
          <w:b/>
          <w:i/>
          <w:color w:val="auto"/>
          <w:sz w:val="32"/>
          <w:szCs w:val="32"/>
          <w:highlight w:val="none"/>
          <w:u w:val="singl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rPr>
          <w:rFonts w:hint="eastAsia" w:ascii="黑体" w:hAnsi="宋体" w:eastAsia="黑体" w:cs="黑体"/>
          <w:b/>
          <w:i/>
          <w:color w:val="auto"/>
          <w:sz w:val="32"/>
          <w:szCs w:val="32"/>
          <w:highlight w:val="none"/>
          <w:u w:val="single"/>
        </w:rPr>
        <w:br w:type="page" w:clear="all"/>
      </w:r>
      <w:r/>
    </w:p>
    <w:p>
      <w:pPr>
        <w:pStyle w:val="738"/>
        <w:jc w:val="center"/>
        <w:spacing w:beforeAutospacing="0" w:afterAutospacing="0"/>
        <w:rPr>
          <w:color w:val="auto"/>
          <w:highlight w:val="none"/>
          <w:shd w:val="clear" w:color="auto" w:fill="auto"/>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六</w:t>
      </w:r>
      <w:r>
        <w:rPr>
          <w:rFonts w:hint="eastAsia" w:ascii="黑体" w:hAnsi="宋体" w:eastAsia="黑体" w:cs="黑体"/>
          <w:b/>
          <w:i/>
          <w:color w:val="auto"/>
          <w:sz w:val="32"/>
          <w:szCs w:val="32"/>
          <w:highlight w:val="none"/>
          <w:u w:val="single"/>
        </w:rPr>
        <w:t xml:space="preserve">、开标一览表</w:t>
      </w:r>
      <w:r>
        <w:rPr>
          <w:rFonts w:ascii="Times New Roman" w:hAnsi="Times New Roman"/>
          <w:color w:val="auto"/>
          <w:sz w:val="21"/>
          <w:szCs w:val="21"/>
          <w:highlight w:val="none"/>
          <w:shd w:val="clear" w:color="auto" w:fill="auto"/>
        </w:rPr>
        <w:t xml:space="preserve">（备注：经办人在有总报价有核心产品时选用。确定后该备注删除。）</w:t>
      </w:r>
      <w:r/>
    </w:p>
    <w:p>
      <w:pPr>
        <w:pStyle w:val="738"/>
        <w:ind w:firstLine="480"/>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投标人全称（加盖CA电子签章）：</w:t>
      </w:r>
      <w:r/>
    </w:p>
    <w:p>
      <w:pPr>
        <w:pStyle w:val="738"/>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738"/>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738"/>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715"/>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738"/>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738"/>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738"/>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38"/>
              <w:jc w:val="center"/>
              <w:spacing w:beforeAutospacing="0" w:afterAutospacing="0" w:line="300" w:lineRule="auto"/>
              <w:rPr>
                <w:color w:val="auto"/>
                <w:highlight w:val="none"/>
              </w:rPr>
            </w:pPr>
            <w:r>
              <w:rPr>
                <w:rFonts w:hint="eastAsia" w:ascii="宋体" w:hAnsi="宋体" w:eastAsia="宋体" w:cs="宋体"/>
                <w:color w:val="auto"/>
                <w:highlight w:val="none"/>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738"/>
              <w:spacing w:beforeAutospacing="0" w:afterAutospacing="0" w:line="0" w:lineRule="atLeast"/>
              <w:rPr>
                <w:color w:val="auto"/>
                <w:highlight w:val="none"/>
              </w:rPr>
            </w:pPr>
            <w:r>
              <w:rPr>
                <w:color w:val="auto"/>
                <w:highlight w:val="none"/>
              </w:rPr>
              <w:t xml:space="preserve"> </w:t>
            </w:r>
            <w:r/>
          </w:p>
        </w:tc>
      </w:tr>
    </w:tbl>
    <w:p>
      <w:pPr>
        <w:pStyle w:val="738"/>
        <w:jc w:val="both"/>
        <w:spacing w:beforeAutospacing="0" w:afterAutospacing="0"/>
        <w:rPr>
          <w:color w:val="auto"/>
          <w:highlight w:val="none"/>
        </w:rPr>
      </w:pPr>
      <w:r>
        <w:rPr>
          <w:color w:val="auto"/>
          <w:highlight w:val="none"/>
        </w:rPr>
        <w:t xml:space="preserve"> </w:t>
      </w:r>
      <w:r/>
    </w:p>
    <w:p>
      <w:pPr>
        <w:pStyle w:val="738"/>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738"/>
        <w:jc w:val="both"/>
        <w:spacing w:beforeAutospacing="0" w:afterAutospacing="0"/>
        <w:rPr>
          <w:color w:val="auto"/>
          <w:highlight w:val="none"/>
        </w:rPr>
      </w:pPr>
      <w:r>
        <w:rPr>
          <w:color w:val="auto"/>
          <w:highlight w:val="none"/>
        </w:rPr>
        <w:t xml:space="preserve"> </w:t>
      </w:r>
      <w:r/>
    </w:p>
    <w:p>
      <w:pPr>
        <w:jc w:val="center"/>
        <w:spacing w:before="50" w:after="50"/>
        <w:widowControl/>
        <w:rPr>
          <w:rFonts w:ascii="宋体" w:hAnsi="宋体" w:eastAsia="宋体" w:cs="宋体"/>
          <w:b/>
          <w:bCs/>
          <w:i/>
          <w:iCs/>
          <w:color w:val="auto"/>
          <w:sz w:val="24"/>
          <w:highlight w:val="none"/>
          <w:u w:val="single"/>
        </w:rPr>
      </w:pPr>
      <w:r>
        <w:rPr>
          <w:rFonts w:hint="eastAsia" w:ascii="宋体" w:hAnsi="宋体" w:eastAsia="宋体" w:cs="宋体"/>
          <w:b/>
          <w:bCs/>
          <w:i/>
          <w:iCs/>
          <w:color w:val="auto"/>
          <w:sz w:val="32"/>
          <w:szCs w:val="32"/>
          <w:highlight w:val="none"/>
          <w:u w:val="single"/>
        </w:rPr>
        <w:t xml:space="preserve">十</w:t>
      </w:r>
      <w:r>
        <w:rPr>
          <w:rFonts w:hint="eastAsia" w:ascii="宋体" w:hAnsi="宋体" w:eastAsia="宋体" w:cs="宋体"/>
          <w:b/>
          <w:bCs/>
          <w:i/>
          <w:iCs/>
          <w:color w:val="auto"/>
          <w:sz w:val="32"/>
          <w:szCs w:val="32"/>
          <w:highlight w:val="none"/>
          <w:u w:val="single"/>
          <w:lang w:val="en-US" w:eastAsia="zh-CN"/>
        </w:rPr>
        <w:t xml:space="preserve">七</w:t>
      </w:r>
      <w:r>
        <w:rPr>
          <w:rFonts w:hint="eastAsia" w:ascii="宋体" w:hAnsi="宋体" w:eastAsia="宋体" w:cs="宋体"/>
          <w:b/>
          <w:bCs/>
          <w:i/>
          <w:iCs/>
          <w:color w:val="auto"/>
          <w:sz w:val="32"/>
          <w:szCs w:val="32"/>
          <w:highlight w:val="none"/>
          <w:u w:val="single"/>
        </w:rPr>
        <w:t xml:space="preserve">、技术方案、服务承诺、培训承诺等</w:t>
      </w:r>
      <w:r/>
    </w:p>
    <w:p>
      <w:pPr>
        <w:pStyle w:val="738"/>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38"/>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38"/>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pStyle w:val="738"/>
        <w:jc w:val="center"/>
        <w:spacing w:beforeAutospacing="0" w:afterAutospacing="0"/>
        <w:rPr>
          <w:rFonts w:hint="eastAsia" w:ascii="黑体" w:hAnsi="宋体" w:eastAsia="黑体" w:cs="黑体"/>
          <w:b w:val="0"/>
          <w:bCs/>
          <w:i/>
          <w:iCs w:val="0"/>
          <w:color w:val="auto"/>
          <w:sz w:val="32"/>
          <w:szCs w:val="32"/>
          <w:highlight w:val="none"/>
          <w:u w:val="single"/>
        </w:rPr>
      </w:pPr>
      <w:r>
        <w:rPr>
          <w:rFonts w:hint="eastAsia" w:ascii="黑体" w:hAnsi="宋体" w:eastAsia="黑体" w:cs="黑体"/>
          <w:b w:val="0"/>
          <w:bCs/>
          <w:i/>
          <w:iCs w:val="0"/>
          <w:color w:val="auto"/>
          <w:sz w:val="32"/>
          <w:szCs w:val="32"/>
          <w:highlight w:val="none"/>
          <w:u w:val="single"/>
        </w:rPr>
        <w:t xml:space="preserve">十</w:t>
      </w:r>
      <w:r>
        <w:rPr>
          <w:rFonts w:hint="eastAsia" w:ascii="黑体" w:hAnsi="宋体" w:eastAsia="黑体" w:cs="黑体"/>
          <w:b w:val="0"/>
          <w:bCs/>
          <w:i/>
          <w:iCs w:val="0"/>
          <w:color w:val="auto"/>
          <w:sz w:val="32"/>
          <w:szCs w:val="32"/>
          <w:highlight w:val="none"/>
          <w:u w:val="single"/>
          <w:lang w:val="en-US" w:eastAsia="zh-CN"/>
        </w:rPr>
        <w:t xml:space="preserve">八</w:t>
      </w:r>
      <w:r>
        <w:rPr>
          <w:rFonts w:hint="eastAsia" w:ascii="黑体" w:hAnsi="宋体" w:eastAsia="黑体" w:cs="黑体"/>
          <w:b w:val="0"/>
          <w:bCs/>
          <w:i/>
          <w:iCs w:val="0"/>
          <w:color w:val="auto"/>
          <w:sz w:val="32"/>
          <w:szCs w:val="32"/>
          <w:highlight w:val="none"/>
          <w:u w:val="single"/>
        </w:rPr>
        <w:t xml:space="preserve">、盐城市政府采购事前信用承诺书</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bookmarkEnd w:id="6"/>
      <w:r/>
      <w:bookmarkEnd w:id="45"/>
      <w:r/>
      <w:bookmarkEnd w:id="92"/>
      <w:r/>
      <w:bookmarkEnd w:id="93"/>
      <w:r/>
      <w:bookmarkEnd w:id="94"/>
      <w:r/>
      <w:bookmarkEnd w:id="95"/>
      <w:r/>
      <w:bookmarkEnd w:id="96"/>
      <w:r/>
      <w:bookmarkEnd w:id="97"/>
      <w:r/>
      <w:bookmarkEnd w:id="98"/>
      <w:r/>
      <w:bookmarkEnd w:id="99"/>
      <w:r/>
      <w:bookmarkEnd w:id="108"/>
      <w:r/>
      <w:bookmarkEnd w:id="109"/>
      <w:r/>
      <w:bookmarkEnd w:id="116"/>
      <w:r/>
      <w:bookmarkEnd w:id="163"/>
      <w:r/>
      <w:bookmarkEnd w:id="174"/>
      <w:r/>
      <w:bookmarkEnd w:id="178"/>
      <w:r/>
      <w:bookmarkEnd w:id="179"/>
      <w:r/>
      <w:bookmarkEnd w:id="180"/>
      <w:r/>
      <w:bookmarkEnd w:id="181"/>
      <w:r/>
      <w:bookmarkEnd w:id="182"/>
      <w:r/>
      <w:bookmarkEnd w:id="183"/>
      <w:r/>
      <w:bookmarkEnd w:id="184"/>
      <w:r/>
      <w:bookmarkEnd w:id="185"/>
      <w:r/>
      <w:bookmarkEnd w:id="194"/>
      <w:r/>
      <w:bookmarkEnd w:id="195"/>
      <w:r/>
      <w:bookmarkEnd w:id="196"/>
      <w:r/>
      <w:bookmarkEnd w:id="197"/>
      <w:r/>
      <w:bookmarkEnd w:id="198"/>
      <w:r/>
      <w:r/>
    </w:p>
    <w:p>
      <w:pPr>
        <w:pStyle w:val="738"/>
        <w:jc w:val="center"/>
        <w:spacing w:beforeAutospacing="0" w:afterAutospacing="0"/>
        <w:rPr>
          <w:color w:val="auto"/>
          <w:highlight w:val="none"/>
        </w:rPr>
      </w:pPr>
      <w:r>
        <w:rPr>
          <w:color w:val="auto"/>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738"/>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738"/>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73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38"/>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3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38"/>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3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3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3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38"/>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3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3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73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38"/>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3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3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3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73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73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38"/>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3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3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3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73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73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38"/>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738"/>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38"/>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38"/>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38"/>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38"/>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38"/>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738"/>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38"/>
        <w:spacing w:beforeAutospacing="0" w:afterAutospacing="0"/>
        <w:rPr>
          <w:color w:val="auto"/>
          <w:highlight w:val="none"/>
        </w:rPr>
      </w:pPr>
      <w:r>
        <w:rPr>
          <w:color w:val="auto"/>
          <w:highlight w:val="none"/>
        </w:rPr>
      </w:r>
      <w:r/>
    </w:p>
    <w:sectPr>
      <w:footerReference w:type="default" r:id="rId10"/>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中宋">
    <w:panose1 w:val="02010600040101010101"/>
  </w:font>
  <w:font w:name="仿宋_GB2312">
    <w:panose1 w:val="02010609060101010101"/>
  </w:font>
  <w:font w:name="黑体">
    <w:panose1 w:val="02010609060101010101"/>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Adobe 仿宋 Std R">
    <w:panose1 w:val="020B0503020202020204"/>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89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8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8"/>
    <w:lvlOverride w:ilvl="0">
      <w:startOverride w:val="2"/>
    </w:lvlOverride>
  </w:num>
  <w:num w:numId="4">
    <w:abstractNumId w:val="0"/>
    <w:lvlOverride w:ilvl="0">
      <w:startOverride w:val="6"/>
    </w:lvlOverride>
  </w:num>
  <w:num w:numId="5">
    <w:abstractNumId w:val="6"/>
    <w:lvlOverride w:ilvl="0">
      <w:startOverride w:val="16"/>
    </w:lvlOverride>
  </w:num>
  <w:num w:numId="6">
    <w:abstractNumId w:val="4"/>
    <w:lvlOverride w:ilvl="0">
      <w:startOverride w:val="23"/>
    </w:lvlOverride>
  </w:num>
  <w:num w:numId="7">
    <w:abstractNumId w:val="7"/>
  </w:num>
  <w:num w:numId="8">
    <w:abstractNumId w:val="9"/>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05">
    <w:name w:val="Heading 1"/>
    <w:basedOn w:val="704"/>
    <w:next w:val="704"/>
    <w:uiPriority w:val="0"/>
    <w:qFormat/>
    <w:pPr>
      <w:jc w:val="center"/>
      <w:keepNext/>
      <w:spacing w:line="360" w:lineRule="auto"/>
      <w:outlineLvl w:val="0"/>
    </w:pPr>
    <w:rPr>
      <w:rFonts w:ascii="宋体" w:hAnsi="宋体" w:eastAsia="宋体" w:cs="Times New Roman"/>
      <w:b/>
      <w:sz w:val="24"/>
      <w:szCs w:val="20"/>
    </w:rPr>
  </w:style>
  <w:style w:type="paragraph" w:styleId="706">
    <w:name w:val="Heading 2"/>
    <w:basedOn w:val="704"/>
    <w:next w:val="704"/>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707">
    <w:name w:val="Heading 3"/>
    <w:basedOn w:val="704"/>
    <w:next w:val="704"/>
    <w:uiPriority w:val="9"/>
    <w:unhideWhenUsed/>
    <w:qFormat/>
    <w:pPr>
      <w:keepLines/>
      <w:keepNext/>
      <w:spacing w:before="260" w:after="260" w:line="413" w:lineRule="auto"/>
      <w:outlineLvl w:val="2"/>
    </w:pPr>
    <w:rPr>
      <w:b/>
      <w:sz w:val="32"/>
    </w:rPr>
  </w:style>
  <w:style w:type="paragraph" w:styleId="708">
    <w:name w:val="Heading 4"/>
    <w:basedOn w:val="704"/>
    <w:next w:val="704"/>
    <w:link w:val="747"/>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04"/>
    <w:next w:val="704"/>
    <w:link w:val="748"/>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04"/>
    <w:next w:val="704"/>
    <w:link w:val="749"/>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04"/>
    <w:next w:val="704"/>
    <w:link w:val="750"/>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04"/>
    <w:next w:val="704"/>
    <w:link w:val="751"/>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04"/>
    <w:next w:val="704"/>
    <w:link w:val="752"/>
    <w:uiPriority w:val="9"/>
    <w:unhideWhenUsed/>
    <w:qFormat/>
    <w:pPr>
      <w:keepLines/>
      <w:keepNext/>
      <w:spacing w:before="320" w:after="200"/>
      <w:outlineLvl w:val="8"/>
    </w:pPr>
    <w:rPr>
      <w:rFonts w:ascii="Arial" w:hAnsi="Arial" w:eastAsia="Arial" w:cs="Arial"/>
      <w:i/>
      <w:iCs/>
      <w:sz w:val="21"/>
      <w:szCs w:val="21"/>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name w:val="toc 7"/>
    <w:basedOn w:val="704"/>
    <w:next w:val="704"/>
    <w:uiPriority w:val="39"/>
    <w:unhideWhenUsed/>
    <w:qFormat/>
    <w:pPr>
      <w:ind w:left="1701" w:right="0" w:firstLine="0"/>
      <w:spacing w:after="57"/>
    </w:pPr>
  </w:style>
  <w:style w:type="paragraph" w:styleId="717">
    <w:name w:val="Normal Indent"/>
    <w:basedOn w:val="704"/>
    <w:uiPriority w:val="0"/>
    <w:qFormat/>
    <w:pPr>
      <w:ind w:firstLine="420"/>
    </w:pPr>
  </w:style>
  <w:style w:type="paragraph" w:styleId="718">
    <w:name w:val="Caption"/>
    <w:basedOn w:val="704"/>
    <w:next w:val="70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19">
    <w:name w:val="annotation text"/>
    <w:basedOn w:val="704"/>
    <w:uiPriority w:val="0"/>
    <w:qFormat/>
    <w:pPr>
      <w:jc w:val="left"/>
    </w:pPr>
  </w:style>
  <w:style w:type="paragraph" w:styleId="720">
    <w:name w:val="Body Text"/>
    <w:basedOn w:val="704"/>
    <w:uiPriority w:val="0"/>
    <w:unhideWhenUsed/>
    <w:qFormat/>
    <w:pPr>
      <w:spacing w:after="120"/>
    </w:pPr>
    <w:rPr>
      <w:rFonts w:ascii="Calibri" w:hAnsi="Calibri"/>
      <w:szCs w:val="22"/>
    </w:rPr>
  </w:style>
  <w:style w:type="paragraph" w:styleId="721">
    <w:name w:val="Body Text Indent"/>
    <w:basedOn w:val="704"/>
    <w:next w:val="704"/>
    <w:uiPriority w:val="0"/>
    <w:qFormat/>
    <w:pPr>
      <w:ind w:left="420"/>
      <w:spacing w:after="120"/>
    </w:pPr>
  </w:style>
  <w:style w:type="paragraph" w:styleId="722">
    <w:name w:val="Block Text"/>
    <w:basedOn w:val="704"/>
    <w:uiPriority w:val="99"/>
    <w:unhideWhenUsed/>
    <w:qFormat/>
    <w:pPr>
      <w:ind w:left="1440" w:right="1440"/>
      <w:spacing w:after="120"/>
    </w:pPr>
  </w:style>
  <w:style w:type="paragraph" w:styleId="723">
    <w:name w:val="toc 5"/>
    <w:basedOn w:val="704"/>
    <w:next w:val="704"/>
    <w:uiPriority w:val="39"/>
    <w:unhideWhenUsed/>
    <w:qFormat/>
    <w:pPr>
      <w:ind w:left="1134" w:right="0" w:firstLine="0"/>
      <w:spacing w:after="57"/>
    </w:pPr>
  </w:style>
  <w:style w:type="paragraph" w:styleId="724">
    <w:name w:val="toc 3"/>
    <w:basedOn w:val="704"/>
    <w:next w:val="704"/>
    <w:uiPriority w:val="39"/>
    <w:unhideWhenUsed/>
    <w:qFormat/>
    <w:pPr>
      <w:ind w:left="567" w:right="0" w:firstLine="0"/>
      <w:spacing w:after="57"/>
    </w:pPr>
  </w:style>
  <w:style w:type="paragraph" w:styleId="725">
    <w:name w:val="Plain Text"/>
    <w:basedOn w:val="704"/>
    <w:uiPriority w:val="0"/>
    <w:unhideWhenUsed/>
    <w:qFormat/>
    <w:rPr>
      <w:rFonts w:ascii="宋体" w:hAnsi="Courier New" w:cs="Courier New"/>
      <w:szCs w:val="21"/>
    </w:rPr>
  </w:style>
  <w:style w:type="paragraph" w:styleId="726">
    <w:name w:val="toc 8"/>
    <w:basedOn w:val="704"/>
    <w:next w:val="704"/>
    <w:uiPriority w:val="39"/>
    <w:unhideWhenUsed/>
    <w:qFormat/>
    <w:pPr>
      <w:ind w:left="1984" w:right="0" w:firstLine="0"/>
      <w:spacing w:after="57"/>
    </w:pPr>
  </w:style>
  <w:style w:type="paragraph" w:styleId="727">
    <w:name w:val="endnote text"/>
    <w:basedOn w:val="704"/>
    <w:link w:val="889"/>
    <w:uiPriority w:val="99"/>
    <w:semiHidden/>
    <w:unhideWhenUsed/>
    <w:qFormat/>
    <w:pPr>
      <w:spacing w:after="0" w:line="240" w:lineRule="auto"/>
    </w:pPr>
    <w:rPr>
      <w:sz w:val="20"/>
    </w:rPr>
  </w:style>
  <w:style w:type="paragraph" w:styleId="728">
    <w:name w:val="Footer"/>
    <w:basedOn w:val="704"/>
    <w:link w:val="894"/>
    <w:uiPriority w:val="0"/>
    <w:qFormat/>
    <w:pPr>
      <w:jc w:val="left"/>
      <w:tabs>
        <w:tab w:val="center" w:pos="4153" w:leader="none"/>
        <w:tab w:val="right" w:pos="8306" w:leader="none"/>
      </w:tabs>
    </w:pPr>
    <w:rPr>
      <w:sz w:val="18"/>
      <w:szCs w:val="18"/>
    </w:rPr>
  </w:style>
  <w:style w:type="paragraph" w:styleId="729">
    <w:name w:val="Header"/>
    <w:basedOn w:val="704"/>
    <w:link w:val="893"/>
    <w:uiPriority w:val="0"/>
    <w:qFormat/>
    <w:pPr>
      <w:jc w:val="center"/>
      <w:tabs>
        <w:tab w:val="center" w:pos="4153" w:leader="none"/>
        <w:tab w:val="right" w:pos="8306" w:leader="none"/>
      </w:tabs>
      <w:pBdr>
        <w:bottom w:val="single" w:color="auto" w:sz="6" w:space="1"/>
      </w:pBdr>
    </w:pPr>
    <w:rPr>
      <w:sz w:val="18"/>
      <w:szCs w:val="18"/>
    </w:rPr>
  </w:style>
  <w:style w:type="paragraph" w:styleId="730">
    <w:name w:val="toc 1"/>
    <w:basedOn w:val="704"/>
    <w:next w:val="704"/>
    <w:uiPriority w:val="39"/>
    <w:unhideWhenUsed/>
    <w:qFormat/>
    <w:pPr>
      <w:ind w:left="0" w:right="0" w:firstLine="0"/>
      <w:spacing w:after="57"/>
    </w:pPr>
  </w:style>
  <w:style w:type="paragraph" w:styleId="731">
    <w:name w:val="toc 4"/>
    <w:basedOn w:val="704"/>
    <w:next w:val="704"/>
    <w:uiPriority w:val="39"/>
    <w:unhideWhenUsed/>
    <w:qFormat/>
    <w:pPr>
      <w:ind w:left="850" w:right="0" w:firstLine="0"/>
      <w:spacing w:after="57"/>
    </w:pPr>
  </w:style>
  <w:style w:type="paragraph" w:styleId="732">
    <w:name w:val="Subtitle"/>
    <w:basedOn w:val="704"/>
    <w:next w:val="704"/>
    <w:link w:val="755"/>
    <w:uiPriority w:val="11"/>
    <w:qFormat/>
    <w:pPr>
      <w:spacing w:before="200" w:after="200"/>
    </w:pPr>
    <w:rPr>
      <w:sz w:val="24"/>
      <w:szCs w:val="24"/>
    </w:rPr>
  </w:style>
  <w:style w:type="paragraph" w:styleId="733">
    <w:name w:val="footnote text"/>
    <w:basedOn w:val="704"/>
    <w:link w:val="888"/>
    <w:uiPriority w:val="99"/>
    <w:semiHidden/>
    <w:unhideWhenUsed/>
    <w:qFormat/>
    <w:pPr>
      <w:spacing w:after="40" w:line="240" w:lineRule="auto"/>
    </w:pPr>
    <w:rPr>
      <w:sz w:val="18"/>
    </w:rPr>
  </w:style>
  <w:style w:type="paragraph" w:styleId="734">
    <w:name w:val="toc 6"/>
    <w:basedOn w:val="704"/>
    <w:next w:val="704"/>
    <w:uiPriority w:val="39"/>
    <w:unhideWhenUsed/>
    <w:qFormat/>
    <w:pPr>
      <w:ind w:left="1417" w:right="0" w:firstLine="0"/>
      <w:spacing w:after="57"/>
    </w:pPr>
  </w:style>
  <w:style w:type="paragraph" w:styleId="735">
    <w:name w:val="table of figures"/>
    <w:basedOn w:val="704"/>
    <w:next w:val="704"/>
    <w:uiPriority w:val="99"/>
    <w:unhideWhenUsed/>
    <w:qFormat/>
    <w:pPr>
      <w:spacing w:after="0" w:afterAutospacing="0"/>
    </w:pPr>
  </w:style>
  <w:style w:type="paragraph" w:styleId="736">
    <w:name w:val="toc 2"/>
    <w:basedOn w:val="704"/>
    <w:next w:val="704"/>
    <w:uiPriority w:val="39"/>
    <w:unhideWhenUsed/>
    <w:qFormat/>
    <w:pPr>
      <w:ind w:left="283" w:right="0" w:firstLine="0"/>
      <w:spacing w:after="57"/>
    </w:pPr>
  </w:style>
  <w:style w:type="paragraph" w:styleId="737">
    <w:name w:val="toc 9"/>
    <w:basedOn w:val="704"/>
    <w:next w:val="704"/>
    <w:uiPriority w:val="39"/>
    <w:unhideWhenUsed/>
    <w:qFormat/>
    <w:pPr>
      <w:ind w:left="2268" w:right="0" w:firstLine="0"/>
      <w:spacing w:after="57"/>
    </w:pPr>
  </w:style>
  <w:style w:type="paragraph" w:styleId="738">
    <w:name w:val="Normal (Web)"/>
    <w:basedOn w:val="704"/>
    <w:uiPriority w:val="0"/>
    <w:qFormat/>
    <w:pPr>
      <w:jc w:val="left"/>
      <w:spacing w:beforeAutospacing="1" w:afterAutospacing="1"/>
    </w:pPr>
    <w:rPr>
      <w:rFonts w:cs="Times New Roman"/>
      <w:sz w:val="24"/>
    </w:rPr>
  </w:style>
  <w:style w:type="paragraph" w:styleId="739">
    <w:name w:val="Title"/>
    <w:basedOn w:val="704"/>
    <w:next w:val="704"/>
    <w:link w:val="754"/>
    <w:uiPriority w:val="10"/>
    <w:qFormat/>
    <w:pPr>
      <w:contextualSpacing/>
      <w:spacing w:before="300" w:after="200"/>
    </w:pPr>
    <w:rPr>
      <w:sz w:val="48"/>
      <w:szCs w:val="48"/>
    </w:rPr>
  </w:style>
  <w:style w:type="table" w:styleId="740">
    <w:name w:val="Table Grid"/>
    <w:basedOn w:val="71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1">
    <w:name w:val="endnote reference"/>
    <w:basedOn w:val="714"/>
    <w:uiPriority w:val="99"/>
    <w:semiHidden/>
    <w:unhideWhenUsed/>
    <w:qFormat/>
    <w:rPr>
      <w:vertAlign w:val="superscript"/>
    </w:rPr>
  </w:style>
  <w:style w:type="character" w:styleId="742">
    <w:name w:val="Hyperlink"/>
    <w:uiPriority w:val="99"/>
    <w:unhideWhenUsed/>
    <w:qFormat/>
    <w:rPr>
      <w:color w:val="0563c1" w:themeColor="hyperlink"/>
      <w:u w:val="single"/>
      <w14:textFill>
        <w14:solidFill>
          <w14:schemeClr w14:val="hlink"/>
        </w14:solidFill>
      </w14:textFill>
    </w:rPr>
  </w:style>
  <w:style w:type="character" w:styleId="743">
    <w:name w:val="footnote reference"/>
    <w:basedOn w:val="714"/>
    <w:uiPriority w:val="99"/>
    <w:unhideWhenUsed/>
    <w:qFormat/>
    <w:rPr>
      <w:vertAlign w:val="superscript"/>
    </w:rPr>
  </w:style>
  <w:style w:type="character" w:styleId="744" w:customStyle="1">
    <w:name w:val="Heading 1 Char"/>
    <w:basedOn w:val="714"/>
    <w:uiPriority w:val="9"/>
    <w:qFormat/>
    <w:rPr>
      <w:rFonts w:ascii="Arial" w:hAnsi="Arial" w:eastAsia="Arial" w:cs="Arial"/>
      <w:sz w:val="40"/>
      <w:szCs w:val="40"/>
    </w:rPr>
  </w:style>
  <w:style w:type="character" w:styleId="745" w:customStyle="1">
    <w:name w:val="Heading 2 Char"/>
    <w:basedOn w:val="714"/>
    <w:uiPriority w:val="9"/>
    <w:qFormat/>
    <w:rPr>
      <w:rFonts w:ascii="Arial" w:hAnsi="Arial" w:eastAsia="Arial" w:cs="Arial"/>
      <w:sz w:val="34"/>
    </w:rPr>
  </w:style>
  <w:style w:type="character" w:styleId="746" w:customStyle="1">
    <w:name w:val="Heading 3 Char"/>
    <w:basedOn w:val="714"/>
    <w:uiPriority w:val="9"/>
    <w:qFormat/>
    <w:rPr>
      <w:rFonts w:ascii="Arial" w:hAnsi="Arial" w:eastAsia="Arial" w:cs="Arial"/>
      <w:sz w:val="30"/>
      <w:szCs w:val="30"/>
    </w:rPr>
  </w:style>
  <w:style w:type="character" w:styleId="747" w:customStyle="1">
    <w:name w:val="Heading 4 Char"/>
    <w:basedOn w:val="714"/>
    <w:link w:val="708"/>
    <w:uiPriority w:val="9"/>
    <w:qFormat/>
    <w:rPr>
      <w:rFonts w:ascii="Arial" w:hAnsi="Arial" w:eastAsia="Arial" w:cs="Arial"/>
      <w:b/>
      <w:bCs/>
      <w:sz w:val="26"/>
      <w:szCs w:val="26"/>
    </w:rPr>
  </w:style>
  <w:style w:type="character" w:styleId="748" w:customStyle="1">
    <w:name w:val="Heading 5 Char"/>
    <w:basedOn w:val="714"/>
    <w:link w:val="709"/>
    <w:uiPriority w:val="9"/>
    <w:qFormat/>
    <w:rPr>
      <w:rFonts w:ascii="Arial" w:hAnsi="Arial" w:eastAsia="Arial" w:cs="Arial"/>
      <w:b/>
      <w:bCs/>
      <w:sz w:val="24"/>
      <w:szCs w:val="24"/>
    </w:rPr>
  </w:style>
  <w:style w:type="character" w:styleId="749" w:customStyle="1">
    <w:name w:val="Heading 6 Char"/>
    <w:basedOn w:val="714"/>
    <w:link w:val="710"/>
    <w:uiPriority w:val="9"/>
    <w:qFormat/>
    <w:rPr>
      <w:rFonts w:ascii="Arial" w:hAnsi="Arial" w:eastAsia="Arial" w:cs="Arial"/>
      <w:b/>
      <w:bCs/>
      <w:sz w:val="22"/>
      <w:szCs w:val="22"/>
    </w:rPr>
  </w:style>
  <w:style w:type="character" w:styleId="750" w:customStyle="1">
    <w:name w:val="Heading 7 Char"/>
    <w:basedOn w:val="714"/>
    <w:link w:val="711"/>
    <w:uiPriority w:val="9"/>
    <w:qFormat/>
    <w:rPr>
      <w:rFonts w:ascii="Arial" w:hAnsi="Arial" w:eastAsia="Arial" w:cs="Arial"/>
      <w:b/>
      <w:bCs/>
      <w:i/>
      <w:iCs/>
      <w:sz w:val="22"/>
      <w:szCs w:val="22"/>
    </w:rPr>
  </w:style>
  <w:style w:type="character" w:styleId="751" w:customStyle="1">
    <w:name w:val="Heading 8 Char"/>
    <w:basedOn w:val="714"/>
    <w:link w:val="712"/>
    <w:uiPriority w:val="9"/>
    <w:qFormat/>
    <w:rPr>
      <w:rFonts w:ascii="Arial" w:hAnsi="Arial" w:eastAsia="Arial" w:cs="Arial"/>
      <w:i/>
      <w:iCs/>
      <w:sz w:val="22"/>
      <w:szCs w:val="22"/>
    </w:rPr>
  </w:style>
  <w:style w:type="character" w:styleId="752" w:customStyle="1">
    <w:name w:val="Heading 9 Char"/>
    <w:basedOn w:val="714"/>
    <w:link w:val="713"/>
    <w:uiPriority w:val="9"/>
    <w:qFormat/>
    <w:rPr>
      <w:rFonts w:ascii="Arial" w:hAnsi="Arial" w:eastAsia="Arial" w:cs="Arial"/>
      <w:i/>
      <w:iCs/>
      <w:sz w:val="21"/>
      <w:szCs w:val="21"/>
    </w:rPr>
  </w:style>
  <w:style w:type="paragraph" w:styleId="753">
    <w:name w:val="No Spacing"/>
    <w:uiPriority w:val="1"/>
    <w:qFormat/>
    <w:pPr>
      <w:spacing w:before="0" w:after="0" w:line="240" w:lineRule="auto"/>
    </w:pPr>
    <w:rPr>
      <w:rFonts w:hint="default" w:ascii="Times New Roman" w:hAnsi="Times New Roman" w:eastAsia="宋体" w:cs="Times New Roman"/>
    </w:rPr>
  </w:style>
  <w:style w:type="character" w:styleId="754" w:customStyle="1">
    <w:name w:val="Title Char"/>
    <w:basedOn w:val="714"/>
    <w:link w:val="739"/>
    <w:uiPriority w:val="10"/>
    <w:qFormat/>
    <w:rPr>
      <w:sz w:val="48"/>
      <w:szCs w:val="48"/>
    </w:rPr>
  </w:style>
  <w:style w:type="character" w:styleId="755" w:customStyle="1">
    <w:name w:val="Subtitle Char"/>
    <w:basedOn w:val="714"/>
    <w:link w:val="732"/>
    <w:uiPriority w:val="11"/>
    <w:qFormat/>
    <w:rPr>
      <w:sz w:val="24"/>
      <w:szCs w:val="24"/>
    </w:rPr>
  </w:style>
  <w:style w:type="paragraph" w:styleId="756">
    <w:name w:val="Quote"/>
    <w:basedOn w:val="704"/>
    <w:next w:val="704"/>
    <w:link w:val="757"/>
    <w:uiPriority w:val="29"/>
    <w:qFormat/>
    <w:pPr>
      <w:ind w:left="720" w:right="720"/>
    </w:pPr>
    <w:rPr>
      <w:i/>
    </w:rPr>
  </w:style>
  <w:style w:type="character" w:styleId="757" w:customStyle="1">
    <w:name w:val="Quote Char"/>
    <w:link w:val="756"/>
    <w:uiPriority w:val="29"/>
    <w:qFormat/>
    <w:rPr>
      <w:i/>
    </w:rPr>
  </w:style>
  <w:style w:type="paragraph" w:styleId="758">
    <w:name w:val="Intense Quote"/>
    <w:basedOn w:val="704"/>
    <w:next w:val="704"/>
    <w:link w:val="7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customStyle="1">
    <w:name w:val="Intense Quote Char"/>
    <w:link w:val="758"/>
    <w:uiPriority w:val="30"/>
    <w:qFormat/>
    <w:rPr>
      <w:i/>
    </w:rPr>
  </w:style>
  <w:style w:type="character" w:styleId="760" w:customStyle="1">
    <w:name w:val="Header Char"/>
    <w:basedOn w:val="714"/>
    <w:uiPriority w:val="99"/>
    <w:qFormat/>
  </w:style>
  <w:style w:type="character" w:styleId="761" w:customStyle="1">
    <w:name w:val="Footer Char"/>
    <w:basedOn w:val="714"/>
    <w:uiPriority w:val="99"/>
    <w:qFormat/>
  </w:style>
  <w:style w:type="character" w:styleId="762" w:customStyle="1">
    <w:name w:val="Caption Char"/>
    <w:uiPriority w:val="99"/>
    <w:qFormat/>
  </w:style>
  <w:style w:type="table" w:styleId="763" w:customStyle="1">
    <w:name w:val="Table Grid Light"/>
    <w:basedOn w:val="7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4" w:customStyle="1">
    <w:name w:val="Plain Table 1"/>
    <w:basedOn w:val="7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2"/>
    <w:basedOn w:val="71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3"/>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customStyle="1">
    <w:name w:val="Plain Table 4"/>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customStyle="1">
    <w:name w:val="Plain Table 5"/>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9" w:customStyle="1">
    <w:name w:val="Grid Table 1 Light"/>
    <w:basedOn w:val="71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1"/>
    <w:basedOn w:val="71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2"/>
    <w:basedOn w:val="71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3"/>
    <w:basedOn w:val="71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4"/>
    <w:basedOn w:val="71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5"/>
    <w:basedOn w:val="71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6"/>
    <w:basedOn w:val="71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76" w:customStyle="1">
    <w:name w:val="Grid Table 2"/>
    <w:basedOn w:val="7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7" w:customStyle="1">
    <w:name w:val="Grid Table 2 - Accent 1"/>
    <w:basedOn w:val="71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78" w:customStyle="1">
    <w:name w:val="Grid Table 2 - Accent 2"/>
    <w:basedOn w:val="71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79" w:customStyle="1">
    <w:name w:val="Grid Table 2 - Accent 3"/>
    <w:basedOn w:val="71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0" w:customStyle="1">
    <w:name w:val="Grid Table 2 - Accent 4"/>
    <w:basedOn w:val="71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81" w:customStyle="1">
    <w:name w:val="Grid Table 2 - Accent 5"/>
    <w:basedOn w:val="71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82" w:customStyle="1">
    <w:name w:val="Grid Table 2 - Accent 6"/>
    <w:basedOn w:val="71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83" w:customStyle="1">
    <w:name w:val="Grid Table 3"/>
    <w:basedOn w:val="7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1"/>
    <w:basedOn w:val="71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2"/>
    <w:basedOn w:val="71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3"/>
    <w:basedOn w:val="71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4"/>
    <w:basedOn w:val="71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5"/>
    <w:basedOn w:val="71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6"/>
    <w:basedOn w:val="71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4"/>
    <w:basedOn w:val="71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Grid Table 4 - Accent 1"/>
    <w:basedOn w:val="715"/>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92" w:customStyle="1">
    <w:name w:val="Grid Table 4 - Accent 2"/>
    <w:basedOn w:val="71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93" w:customStyle="1">
    <w:name w:val="Grid Table 4 - Accent 3"/>
    <w:basedOn w:val="71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94" w:customStyle="1">
    <w:name w:val="Grid Table 4 - Accent 4"/>
    <w:basedOn w:val="71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95" w:customStyle="1">
    <w:name w:val="Grid Table 4 - Accent 5"/>
    <w:basedOn w:val="715"/>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96" w:customStyle="1">
    <w:name w:val="Grid Table 4 - Accent 6"/>
    <w:basedOn w:val="71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97" w:customStyle="1">
    <w:name w:val="Grid Table 5 Dark"/>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8" w:customStyle="1">
    <w:name w:val="Grid Table 5 Dark- Accent 1"/>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99" w:customStyle="1">
    <w:name w:val="Grid Table 5 Dark - Accent 2"/>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0" w:customStyle="1">
    <w:name w:val="Grid Table 5 Dark - Accent 3"/>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1" w:customStyle="1">
    <w:name w:val="Grid Table 5 Dark- Accent 4"/>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2" w:customStyle="1">
    <w:name w:val="Grid Table 5 Dark - Accent 5"/>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03" w:customStyle="1">
    <w:name w:val="Grid Table 5 Dark - Accent 6"/>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04" w:customStyle="1">
    <w:name w:val="Grid Table 6 Colorful"/>
    <w:basedOn w:val="71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5" w:customStyle="1">
    <w:name w:val="Grid Table 6 Colorful - Accent 1"/>
    <w:basedOn w:val="715"/>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06" w:customStyle="1">
    <w:name w:val="Grid Table 6 Colorful - Accent 2"/>
    <w:basedOn w:val="71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07" w:customStyle="1">
    <w:name w:val="Grid Table 6 Colorful - Accent 3"/>
    <w:basedOn w:val="71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08" w:customStyle="1">
    <w:name w:val="Grid Table 6 Colorful - Accent 4"/>
    <w:basedOn w:val="71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09" w:customStyle="1">
    <w:name w:val="Grid Table 6 Colorful - Accent 5"/>
    <w:basedOn w:val="715"/>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0" w:customStyle="1">
    <w:name w:val="Grid Table 6 Colorful - Accent 6"/>
    <w:basedOn w:val="71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1" w:customStyle="1">
    <w:name w:val="Grid Table 7 Colorful"/>
    <w:basedOn w:val="71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2" w:customStyle="1">
    <w:name w:val="Grid Table 7 Colorful - Accent 1"/>
    <w:basedOn w:val="715"/>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13" w:customStyle="1">
    <w:name w:val="Grid Table 7 Colorful - Accent 2"/>
    <w:basedOn w:val="71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4" w:customStyle="1">
    <w:name w:val="Grid Table 7 Colorful - Accent 3"/>
    <w:basedOn w:val="71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15" w:customStyle="1">
    <w:name w:val="Grid Table 7 Colorful - Accent 4"/>
    <w:basedOn w:val="71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16" w:customStyle="1">
    <w:name w:val="Grid Table 7 Colorful - Accent 5"/>
    <w:basedOn w:val="715"/>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17" w:customStyle="1">
    <w:name w:val="Grid Table 7 Colorful - Accent 6"/>
    <w:basedOn w:val="71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18" w:customStyle="1">
    <w:name w:val="List Table 1 Light"/>
    <w:basedOn w:val="71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customStyle="1">
    <w:name w:val="List Table 1 Light - Accent 1"/>
    <w:basedOn w:val="715"/>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20" w:customStyle="1">
    <w:name w:val="List Table 1 Light - Accent 2"/>
    <w:basedOn w:val="71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1" w:customStyle="1">
    <w:name w:val="List Table 1 Light - Accent 3"/>
    <w:basedOn w:val="71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2" w:customStyle="1">
    <w:name w:val="List Table 1 Light - Accent 4"/>
    <w:basedOn w:val="71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23" w:customStyle="1">
    <w:name w:val="List Table 1 Light - Accent 5"/>
    <w:basedOn w:val="715"/>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24" w:customStyle="1">
    <w:name w:val="List Table 1 Light - Accent 6"/>
    <w:basedOn w:val="71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25" w:customStyle="1">
    <w:name w:val="List Table 2"/>
    <w:basedOn w:val="71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6" w:customStyle="1">
    <w:name w:val="List Table 2 - Accent 1"/>
    <w:basedOn w:val="715"/>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27" w:customStyle="1">
    <w:name w:val="List Table 2 - Accent 2"/>
    <w:basedOn w:val="71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28" w:customStyle="1">
    <w:name w:val="List Table 2 - Accent 3"/>
    <w:basedOn w:val="71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29" w:customStyle="1">
    <w:name w:val="List Table 2 - Accent 4"/>
    <w:basedOn w:val="71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0" w:customStyle="1">
    <w:name w:val="List Table 2 - Accent 5"/>
    <w:basedOn w:val="715"/>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31" w:customStyle="1">
    <w:name w:val="List Table 2 - Accent 6"/>
    <w:basedOn w:val="71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2" w:customStyle="1">
    <w:name w:val="List Table 3"/>
    <w:basedOn w:val="7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3 - Accent 1"/>
    <w:basedOn w:val="715"/>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4" w:customStyle="1">
    <w:name w:val="List Table 3 - Accent 2"/>
    <w:basedOn w:val="71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35" w:customStyle="1">
    <w:name w:val="List Table 3 - Accent 3"/>
    <w:basedOn w:val="71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36" w:customStyle="1">
    <w:name w:val="List Table 3 - Accent 4"/>
    <w:basedOn w:val="71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37" w:customStyle="1">
    <w:name w:val="List Table 3 - Accent 5"/>
    <w:basedOn w:val="715"/>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38" w:customStyle="1">
    <w:name w:val="List Table 3 - Accent 6"/>
    <w:basedOn w:val="71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39" w:customStyle="1">
    <w:name w:val="List Table 4"/>
    <w:basedOn w:val="7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4 - Accent 1"/>
    <w:basedOn w:val="715"/>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1" w:customStyle="1">
    <w:name w:val="List Table 4 - Accent 2"/>
    <w:basedOn w:val="71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2" w:customStyle="1">
    <w:name w:val="List Table 4 - Accent 3"/>
    <w:basedOn w:val="71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3" w:customStyle="1">
    <w:name w:val="List Table 4 - Accent 4"/>
    <w:basedOn w:val="71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44" w:customStyle="1">
    <w:name w:val="List Table 4 - Accent 5"/>
    <w:basedOn w:val="715"/>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45" w:customStyle="1">
    <w:name w:val="List Table 4 - Accent 6"/>
    <w:basedOn w:val="71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46" w:customStyle="1">
    <w:name w:val="List Table 5 Dark"/>
    <w:basedOn w:val="71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1"/>
    <w:basedOn w:val="715"/>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2"/>
    <w:basedOn w:val="71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3"/>
    <w:basedOn w:val="71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4"/>
    <w:basedOn w:val="71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5"/>
    <w:basedOn w:val="715"/>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6"/>
    <w:basedOn w:val="71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6 Colorful"/>
    <w:basedOn w:val="71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4" w:customStyle="1">
    <w:name w:val="List Table 6 Colorful - Accent 1"/>
    <w:basedOn w:val="715"/>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55" w:customStyle="1">
    <w:name w:val="List Table 6 Colorful - Accent 2"/>
    <w:basedOn w:val="71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56" w:customStyle="1">
    <w:name w:val="List Table 6 Colorful - Accent 3"/>
    <w:basedOn w:val="71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57" w:customStyle="1">
    <w:name w:val="List Table 6 Colorful - Accent 4"/>
    <w:basedOn w:val="71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58" w:customStyle="1">
    <w:name w:val="List Table 6 Colorful - Accent 5"/>
    <w:basedOn w:val="715"/>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59" w:customStyle="1">
    <w:name w:val="List Table 6 Colorful - Accent 6"/>
    <w:basedOn w:val="71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0" w:customStyle="1">
    <w:name w:val="List Table 7 Colorful"/>
    <w:basedOn w:val="71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List Table 7 Colorful - Accent 1"/>
    <w:basedOn w:val="715"/>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62" w:customStyle="1">
    <w:name w:val="List Table 7 Colorful - Accent 2"/>
    <w:basedOn w:val="71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3" w:customStyle="1">
    <w:name w:val="List Table 7 Colorful - Accent 3"/>
    <w:basedOn w:val="71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64" w:customStyle="1">
    <w:name w:val="List Table 7 Colorful - Accent 4"/>
    <w:basedOn w:val="71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5" w:customStyle="1">
    <w:name w:val="List Table 7 Colorful - Accent 5"/>
    <w:basedOn w:val="715"/>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66" w:customStyle="1">
    <w:name w:val="List Table 7 Colorful - Accent 6"/>
    <w:basedOn w:val="71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67" w:customStyle="1">
    <w:name w:val="Lined - Accent"/>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Lined - Accent 1"/>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9" w:customStyle="1">
    <w:name w:val="Lined - Accent 2"/>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0" w:customStyle="1">
    <w:name w:val="Lined - Accent 3"/>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1" w:customStyle="1">
    <w:name w:val="Lined - Accent 4"/>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2" w:customStyle="1">
    <w:name w:val="Lined - Accent 5"/>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3" w:customStyle="1">
    <w:name w:val="Lined - Accent 6"/>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4" w:customStyle="1">
    <w:name w:val="Bordered &amp; Lined - Accent"/>
    <w:basedOn w:val="71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5" w:customStyle="1">
    <w:name w:val="Bordered &amp; Lined - Accent 1"/>
    <w:basedOn w:val="715"/>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6" w:customStyle="1">
    <w:name w:val="Bordered &amp; Lined - Accent 2"/>
    <w:basedOn w:val="71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7" w:customStyle="1">
    <w:name w:val="Bordered &amp; Lined - Accent 3"/>
    <w:basedOn w:val="71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8" w:customStyle="1">
    <w:name w:val="Bordered &amp; Lined - Accent 4"/>
    <w:basedOn w:val="71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9" w:customStyle="1">
    <w:name w:val="Bordered &amp; Lined - Accent 5"/>
    <w:basedOn w:val="715"/>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0" w:customStyle="1">
    <w:name w:val="Bordered &amp; Lined - Accent 6"/>
    <w:basedOn w:val="71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1" w:customStyle="1">
    <w:name w:val="Bordered"/>
    <w:basedOn w:val="71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2" w:customStyle="1">
    <w:name w:val="Bordered - Accent 1"/>
    <w:basedOn w:val="71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83" w:customStyle="1">
    <w:name w:val="Bordered - Accent 2"/>
    <w:basedOn w:val="71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84" w:customStyle="1">
    <w:name w:val="Bordered - Accent 3"/>
    <w:basedOn w:val="71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85" w:customStyle="1">
    <w:name w:val="Bordered - Accent 4"/>
    <w:basedOn w:val="71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86" w:customStyle="1">
    <w:name w:val="Bordered - Accent 5"/>
    <w:basedOn w:val="71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87" w:customStyle="1">
    <w:name w:val="Bordered - Accent 6"/>
    <w:basedOn w:val="71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88" w:customStyle="1">
    <w:name w:val="Footnote Text Char"/>
    <w:link w:val="733"/>
    <w:uiPriority w:val="99"/>
    <w:qFormat/>
    <w:rPr>
      <w:sz w:val="18"/>
    </w:rPr>
  </w:style>
  <w:style w:type="character" w:styleId="889" w:customStyle="1">
    <w:name w:val="Endnote Text Char"/>
    <w:link w:val="727"/>
    <w:uiPriority w:val="99"/>
    <w:qFormat/>
    <w:rPr>
      <w:sz w:val="20"/>
    </w:rPr>
  </w:style>
  <w:style w:type="paragraph" w:styleId="890" w:customStyle="1">
    <w:name w:val="TOC Heading"/>
    <w:uiPriority w:val="39"/>
    <w:unhideWhenUsed/>
    <w:qFormat/>
    <w:rPr>
      <w:rFonts w:hint="default" w:ascii="Times New Roman" w:hAnsi="Times New Roman" w:eastAsia="宋体" w:cs="Times New Roman"/>
    </w:rPr>
  </w:style>
  <w:style w:type="paragraph" w:styleId="891" w:customStyle="1">
    <w:name w:val="Default"/>
    <w:basedOn w:val="704"/>
    <w:uiPriority w:val="0"/>
    <w:semiHidden/>
    <w:qFormat/>
    <w:pPr>
      <w:jc w:val="left"/>
    </w:pPr>
    <w:rPr>
      <w:rFonts w:ascii="宋体" w:hAnsi="Calibri" w:cs="宋体"/>
      <w:color w:val="000000"/>
      <w:sz w:val="24"/>
    </w:rPr>
  </w:style>
  <w:style w:type="paragraph" w:styleId="892" w:customStyle="1">
    <w:name w:val="正文1"/>
    <w:uiPriority w:val="99"/>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character" w:styleId="893" w:customStyle="1">
    <w:name w:val="页眉 Char"/>
    <w:basedOn w:val="714"/>
    <w:link w:val="729"/>
    <w:uiPriority w:val="0"/>
    <w:qFormat/>
    <w:rPr>
      <w:rFonts w:asciiTheme="minorHAnsi" w:hAnsiTheme="minorHAnsi" w:eastAsiaTheme="minorEastAsia" w:cstheme="minorBidi"/>
      <w:sz w:val="18"/>
      <w:szCs w:val="18"/>
    </w:rPr>
  </w:style>
  <w:style w:type="character" w:styleId="894" w:customStyle="1">
    <w:name w:val="页脚 Char"/>
    <w:basedOn w:val="714"/>
    <w:link w:val="728"/>
    <w:uiPriority w:val="0"/>
    <w:qFormat/>
    <w:rPr>
      <w:rFonts w:asciiTheme="minorHAnsi" w:hAnsiTheme="minorHAnsi" w:eastAsiaTheme="minorEastAsia" w:cstheme="minorBidi"/>
      <w:sz w:val="18"/>
      <w:szCs w:val="18"/>
    </w:rPr>
  </w:style>
  <w:style w:type="paragraph" w:styleId="89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96" w:customStyle="1">
    <w:name w:val="页脚1"/>
    <w:basedOn w:val="704"/>
    <w:uiPriority w:val="99"/>
    <w:unhideWhenUsed/>
    <w:qFormat/>
    <w:pPr>
      <w:jc w:val="left"/>
      <w:tabs>
        <w:tab w:val="center" w:pos="4153" w:leader="none"/>
        <w:tab w:val="right" w:pos="8306" w:leader="none"/>
      </w:tabs>
    </w:pPr>
    <w:rPr>
      <w:sz w:val="18"/>
      <w:szCs w:val="18"/>
    </w:rPr>
  </w:style>
  <w:style w:type="paragraph" w:styleId="897" w:customStyle="1">
    <w:name w:val="普通正文"/>
    <w:basedOn w:val="704"/>
    <w:uiPriority w:val="0"/>
    <w:qFormat/>
    <w:pPr>
      <w:ind w:firstLine="480"/>
      <w:jc w:val="left"/>
      <w:spacing w:before="120" w:after="120" w:line="360" w:lineRule="auto"/>
    </w:pPr>
    <w:rPr>
      <w:rFonts w:ascii="Arial" w:hAnsi="Arial" w:eastAsia="等线" w:cs="Arial"/>
      <w:sz w:val="24"/>
      <w:szCs w:val="24"/>
    </w:rPr>
  </w:style>
  <w:style w:type="paragraph" w:styleId="898" w:customStyle="1">
    <w:name w:val="正文首行缩进 21"/>
    <w:basedOn w:val="899"/>
    <w:uiPriority w:val="0"/>
    <w:qFormat/>
    <w:pPr>
      <w:ind w:firstLine="420"/>
    </w:pPr>
  </w:style>
  <w:style w:type="paragraph" w:styleId="899" w:customStyle="1">
    <w:name w:val="正文文本缩进1"/>
    <w:basedOn w:val="704"/>
    <w:uiPriority w:val="0"/>
    <w:qFormat/>
    <w:pPr>
      <w:ind w:left="420"/>
      <w:spacing w:after="120"/>
    </w:pPr>
  </w:style>
  <w:style w:type="paragraph" w:styleId="900" w:customStyle="1">
    <w:name w:val="Char"/>
    <w:basedOn w:val="704"/>
    <w:uiPriority w:val="0"/>
    <w:qFormat/>
    <w:pPr>
      <w:ind w:firstLine="200"/>
      <w:tabs>
        <w:tab w:val="left" w:pos="360" w:leader="none"/>
      </w:tabs>
    </w:pPr>
    <w:rPr>
      <w:sz w:val="28"/>
      <w:szCs w:val="30"/>
    </w:rPr>
  </w:style>
  <w:style w:type="table" w:styleId="901" w:customStyle="1">
    <w:name w:val="网格型1"/>
    <w:basedOn w:val="902"/>
    <w:uiPriority w:val="0"/>
    <w:qFormat/>
    <w:pPr>
      <w:jc w:val="both"/>
      <w:widowControl w:val="off"/>
    </w:pPr>
    <w:tblPr/>
  </w:style>
  <w:style w:type="table" w:styleId="902" w:customStyle="1">
    <w:name w:val="普通表格1"/>
    <w:uiPriority w:val="99"/>
    <w:unhideWhenUsed/>
    <w:qFormat/>
    <w:tblPr/>
  </w:style>
  <w:style w:type="paragraph" w:styleId="903">
    <w:name w:val="List Paragraph"/>
    <w:basedOn w:val="704"/>
    <w:uiPriority w:val="34"/>
    <w:qFormat/>
    <w:pPr>
      <w:ind w:firstLine="420"/>
    </w:pPr>
  </w:style>
  <w:style w:type="character" w:styleId="904" w:customStyle="1">
    <w:name w:val="font01"/>
    <w:basedOn w:val="714"/>
    <w:uiPriority w:val="0"/>
    <w:qFormat/>
    <w:rPr>
      <w:rFonts w:hint="eastAsia" w:ascii="宋体" w:hAnsi="宋体" w:eastAsia="宋体" w:cs="宋体"/>
      <w:color w:val="000000"/>
      <w:sz w:val="24"/>
      <w:szCs w:val="24"/>
      <w:u w:val="none"/>
    </w:rPr>
  </w:style>
  <w:style w:type="paragraph" w:styleId="905" w:customStyle="1">
    <w:name w:val="普通(网站)1"/>
    <w:basedOn w:val="704"/>
    <w:uiPriority w:val="0"/>
    <w:qFormat/>
    <w:pPr>
      <w:jc w:val="left"/>
      <w:spacing w:beforeAutospacing="1" w:afterAutospacing="1"/>
    </w:pPr>
    <w:rPr>
      <w:rFonts w:cs="Times New Roman"/>
      <w:sz w:val="24"/>
    </w:rPr>
  </w:style>
  <w:style w:type="paragraph" w:styleId="906" w:customStyle="1">
    <w:name w:val="Table Paragraph"/>
    <w:basedOn w:val="704"/>
    <w:uiPriority w:val="1"/>
    <w:qFormat/>
    <w:rPr>
      <w:lang w:val="zh-CN" w:bidi="zh-CN"/>
    </w:rPr>
  </w:style>
  <w:style w:type="character" w:styleId="907" w:customStyle="1">
    <w:name w:val="font71"/>
    <w:basedOn w:val="714"/>
    <w:uiPriority w:val="0"/>
    <w:qFormat/>
    <w:rPr>
      <w:rFonts w:hint="default" w:ascii="Times New Roman" w:hAnsi="Times New Roman" w:cs="Times New Roman"/>
      <w:color w:val="000000"/>
      <w:sz w:val="20"/>
      <w:szCs w:val="20"/>
      <w:u w:val="none"/>
    </w:rPr>
  </w:style>
  <w:style w:type="character" w:styleId="908" w:customStyle="1">
    <w:name w:val="font51"/>
    <w:basedOn w:val="714"/>
    <w:uiPriority w:val="0"/>
    <w:qFormat/>
    <w:rPr>
      <w:rFonts w:hint="eastAsia" w:ascii="宋体" w:hAnsi="宋体" w:eastAsia="宋体" w:cs="宋体"/>
      <w:color w:val="000000"/>
      <w:sz w:val="20"/>
      <w:szCs w:val="20"/>
      <w:u w:val="none"/>
    </w:rPr>
  </w:style>
  <w:style w:type="character" w:styleId="909" w:customStyle="1">
    <w:name w:val="font41"/>
    <w:basedOn w:val="714"/>
    <w:uiPriority w:val="0"/>
    <w:qFormat/>
    <w:rPr>
      <w:rFonts w:hint="default" w:ascii="Times New Roman" w:hAnsi="Times New Roman" w:cs="Times New Roman"/>
      <w:color w:val="000000"/>
      <w:sz w:val="20"/>
      <w:szCs w:val="20"/>
      <w:u w:val="none"/>
    </w:rPr>
  </w:style>
  <w:style w:type="character" w:styleId="910" w:customStyle="1">
    <w:name w:val="font31"/>
    <w:basedOn w:val="714"/>
    <w:uiPriority w:val="0"/>
    <w:qFormat/>
    <w:rPr>
      <w:rFonts w:hint="eastAsia" w:ascii="宋体" w:hAnsi="宋体" w:eastAsia="宋体" w:cs="宋体"/>
      <w:color w:val="000000"/>
      <w:sz w:val="20"/>
      <w:szCs w:val="20"/>
      <w:u w:val="none"/>
    </w:rPr>
  </w:style>
  <w:style w:type="paragraph" w:styleId="911" w:customStyle="1">
    <w:name w:val="表格"/>
    <w:basedOn w:val="704"/>
    <w:uiPriority w:val="0"/>
    <w:qFormat/>
    <w:pPr>
      <w:ind w:firstLine="0"/>
      <w:jc w:val="center"/>
      <w:spacing w:line="240" w:lineRule="auto"/>
    </w:pPr>
    <w:rPr>
      <w:sz w:val="24"/>
    </w:rPr>
  </w:style>
  <w:style w:type="character" w:styleId="912" w:customStyle="1">
    <w:name w:val="font11"/>
    <w:basedOn w:val="714"/>
    <w:uiPriority w:val="0"/>
    <w:qFormat/>
    <w:rPr>
      <w:rFonts w:hint="eastAsia" w:ascii="宋体" w:hAnsi="宋体" w:eastAsia="宋体" w:cs="宋体"/>
      <w:color w:val="ff0000"/>
      <w:sz w:val="22"/>
      <w:szCs w:val="22"/>
      <w:u w:val="none"/>
    </w:rPr>
  </w:style>
  <w:style w:type="numbering" w:styleId="9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张先生</cp:lastModifiedBy>
  <cp:revision>122</cp:revision>
  <dcterms:created xsi:type="dcterms:W3CDTF">2014-10-29T12:08:00Z</dcterms:created>
  <dcterms:modified xsi:type="dcterms:W3CDTF">2025-11-13T02:14:23Z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29159DDDC8FE467AA8695E6FFDB8A858_13</vt:lpwstr>
  </property>
  <property fmtid="{D5CDD505-2E9C-101B-9397-08002B2CF9AE}" pid="4" name="KSOTemplateDocerSaveRecord">
    <vt:lpwstr>eyJoZGlkIjoiZGUzZGNiN2JiMzk0N2Q4YjQzNWNmMWE1YWVlNWMwMjAiLCJ1c2VySWQiOiI0NTEzNDM5MTQifQ==</vt:lpwstr>
  </property>
</Properties>
</file>